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7F" w:rsidRDefault="00E92A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2A7F" w:rsidRDefault="00E92A7F">
      <w:pPr>
        <w:pStyle w:val="ConsPlusNormal"/>
        <w:jc w:val="both"/>
        <w:outlineLvl w:val="0"/>
      </w:pPr>
    </w:p>
    <w:p w:rsidR="00E92A7F" w:rsidRDefault="00E92A7F">
      <w:pPr>
        <w:pStyle w:val="ConsPlusTitle"/>
        <w:jc w:val="center"/>
        <w:outlineLvl w:val="0"/>
      </w:pPr>
      <w:r>
        <w:t>ПРАВИТЕЛЬСТВО ИРКУТСКОЙ ОБЛАСТИ</w:t>
      </w:r>
    </w:p>
    <w:p w:rsidR="00E92A7F" w:rsidRDefault="00E92A7F">
      <w:pPr>
        <w:pStyle w:val="ConsPlusTitle"/>
        <w:jc w:val="center"/>
      </w:pPr>
    </w:p>
    <w:p w:rsidR="00E92A7F" w:rsidRDefault="00E92A7F">
      <w:pPr>
        <w:pStyle w:val="ConsPlusTitle"/>
        <w:jc w:val="center"/>
      </w:pPr>
      <w:r>
        <w:t>РАСПОРЯЖЕНИЕ</w:t>
      </w:r>
    </w:p>
    <w:p w:rsidR="00E92A7F" w:rsidRDefault="00E92A7F">
      <w:pPr>
        <w:pStyle w:val="ConsPlusTitle"/>
        <w:jc w:val="center"/>
      </w:pPr>
      <w:r>
        <w:t>от 24 июня 2021 г. N 351-рп</w:t>
      </w:r>
    </w:p>
    <w:p w:rsidR="00E92A7F" w:rsidRDefault="00E92A7F">
      <w:pPr>
        <w:pStyle w:val="ConsPlusTitle"/>
        <w:jc w:val="center"/>
      </w:pPr>
    </w:p>
    <w:p w:rsidR="00E92A7F" w:rsidRDefault="00E92A7F">
      <w:pPr>
        <w:pStyle w:val="ConsPlusTitle"/>
        <w:jc w:val="center"/>
      </w:pPr>
      <w:r>
        <w:t>О СОЗДАНИИ (ОБНОВЛЕНИИ) МАТЕРИАЛЬНО-ТЕХНИЧЕСКОЙ БАЗЫ</w:t>
      </w:r>
    </w:p>
    <w:p w:rsidR="00E92A7F" w:rsidRDefault="00E92A7F">
      <w:pPr>
        <w:pStyle w:val="ConsPlusTitle"/>
        <w:jc w:val="center"/>
      </w:pPr>
      <w:r>
        <w:t>ОБРАЗОВАТЕЛЬНЫХ ОРГАНИЗАЦИЙ, РЕАЛИЗУЮЩИХ ПРОГРАММЫ СРЕДНЕГО</w:t>
      </w:r>
    </w:p>
    <w:p w:rsidR="00E92A7F" w:rsidRDefault="00E92A7F">
      <w:pPr>
        <w:pStyle w:val="ConsPlusTitle"/>
        <w:jc w:val="center"/>
      </w:pPr>
      <w:r>
        <w:t>ПРОФЕССИОНАЛЬНОГО ОБРАЗОВАНИЯ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2</w:t>
        </w:r>
      </w:hyperlink>
      <w:r>
        <w:t xml:space="preserve"> Правил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"Образование" и национальной программы "Цифровая экономика Российской Федерации" государственной программы Российской Федерации "Развитие образования", являющихся приложением 13(1)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 года N 1642,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Комплекс мер</w:t>
        </w:r>
      </w:hyperlink>
      <w:r>
        <w:t xml:space="preserve"> ("дорожную карту") по созданию и функционированию мастерских (прилагается).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Концепцию</w:t>
        </w:r>
      </w:hyperlink>
      <w:r>
        <w:t xml:space="preserve">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 государственной программы Российской Федерации "Развитие образования" в Иркутской области (прилагается).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3. Определить региональным координатором, ответственным за создание (обновление) материально-технической базы образовательных организаций, реализующих программы среднего профессионального образования, министерство образования Иркутской области.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4. Настоящее распоряжение подлежит официальному опубликованию в сетевом издании "Официальный интернет-портал правовой информации Иркутской области" (ogirk.ru).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right"/>
      </w:pPr>
      <w:r>
        <w:t>Первый заместитель Губернатора</w:t>
      </w:r>
    </w:p>
    <w:p w:rsidR="00E92A7F" w:rsidRDefault="00E92A7F">
      <w:pPr>
        <w:pStyle w:val="ConsPlusNormal"/>
        <w:jc w:val="right"/>
      </w:pPr>
      <w:r>
        <w:t>Иркутской области - Председатель</w:t>
      </w:r>
    </w:p>
    <w:p w:rsidR="00E92A7F" w:rsidRDefault="00E92A7F">
      <w:pPr>
        <w:pStyle w:val="ConsPlusNormal"/>
        <w:jc w:val="right"/>
      </w:pPr>
      <w:r>
        <w:t>Правительства Иркутской области</w:t>
      </w:r>
    </w:p>
    <w:p w:rsidR="00E92A7F" w:rsidRDefault="00E92A7F">
      <w:pPr>
        <w:pStyle w:val="ConsPlusNormal"/>
        <w:jc w:val="right"/>
      </w:pPr>
      <w:r>
        <w:t>К.Б.ЗАЙЦЕВ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right"/>
        <w:outlineLvl w:val="0"/>
      </w:pPr>
      <w:r>
        <w:t>Утвержден</w:t>
      </w:r>
    </w:p>
    <w:p w:rsidR="00E92A7F" w:rsidRDefault="00E92A7F">
      <w:pPr>
        <w:pStyle w:val="ConsPlusNormal"/>
        <w:jc w:val="right"/>
      </w:pPr>
      <w:r>
        <w:t>распоряжением Правительства</w:t>
      </w:r>
    </w:p>
    <w:p w:rsidR="00E92A7F" w:rsidRDefault="00E92A7F">
      <w:pPr>
        <w:pStyle w:val="ConsPlusNormal"/>
        <w:jc w:val="right"/>
      </w:pPr>
      <w:r>
        <w:t>Иркутской области</w:t>
      </w:r>
    </w:p>
    <w:p w:rsidR="00E92A7F" w:rsidRDefault="00E92A7F">
      <w:pPr>
        <w:pStyle w:val="ConsPlusNormal"/>
        <w:jc w:val="right"/>
      </w:pPr>
      <w:r>
        <w:t>от 24 июня 2021 г. N 351-рп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</w:pPr>
      <w:bookmarkStart w:id="0" w:name="P34"/>
      <w:bookmarkEnd w:id="0"/>
      <w:r>
        <w:t>КОМПЛЕКС МЕР ("ДОРОЖНАЯ КАРТА")</w:t>
      </w:r>
    </w:p>
    <w:p w:rsidR="00E92A7F" w:rsidRDefault="00E92A7F">
      <w:pPr>
        <w:pStyle w:val="ConsPlusTitle"/>
        <w:jc w:val="center"/>
      </w:pPr>
      <w:r>
        <w:t>ПО СОЗДАНИЮ И ФУНКЦИОНИРОВАНИЮ МАСТЕРСКИХ</w:t>
      </w:r>
    </w:p>
    <w:p w:rsidR="00E92A7F" w:rsidRDefault="00E92A7F">
      <w:pPr>
        <w:pStyle w:val="ConsPlusNormal"/>
        <w:jc w:val="both"/>
      </w:pPr>
    </w:p>
    <w:p w:rsidR="00E92A7F" w:rsidRDefault="00E92A7F">
      <w:pPr>
        <w:sectPr w:rsidR="00E92A7F" w:rsidSect="00B47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4790"/>
        <w:gridCol w:w="3274"/>
        <w:gridCol w:w="2995"/>
        <w:gridCol w:w="2701"/>
      </w:tblGrid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bookmarkStart w:id="1" w:name="_GoBack"/>
            <w:r>
              <w:lastRenderedPageBreak/>
              <w:t>N</w:t>
            </w:r>
          </w:p>
        </w:tc>
        <w:tc>
          <w:tcPr>
            <w:tcW w:w="1630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019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19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Срок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Утверждено должностное лицо в составе регионального ведомственного проектного офиса, ответственное за создание (обновление) и функционирование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Распорядительный акт министерства образования Иркутской области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25 августа 2021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Согласован и утвержден перечень ПОО, в которых запланировано создание (обновление) 77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 xml:space="preserve">Иркутская область,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 xml:space="preserve">Нормативный акт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1 октября 2021 года,</w:t>
            </w:r>
          </w:p>
          <w:p w:rsidR="00E92A7F" w:rsidRDefault="00E92A7F">
            <w:pPr>
              <w:pStyle w:val="ConsPlusNormal"/>
            </w:pPr>
            <w:r>
              <w:t>1 октября 2022 года,</w:t>
            </w:r>
          </w:p>
          <w:p w:rsidR="00E92A7F" w:rsidRDefault="00E92A7F">
            <w:pPr>
              <w:pStyle w:val="ConsPlusNormal"/>
            </w:pPr>
            <w:r>
              <w:t>1 октября 2023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Согласованы и утверждены дизайн-проекты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 xml:space="preserve">Иркутская область,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(или уполномоченной организации) и акт министерства образования Иркутской области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1 ноября 2021 года,</w:t>
            </w:r>
          </w:p>
          <w:p w:rsidR="00E92A7F" w:rsidRDefault="00E92A7F">
            <w:pPr>
              <w:pStyle w:val="ConsPlusNormal"/>
            </w:pPr>
            <w:r>
              <w:t>1 ноября 2022 года,</w:t>
            </w:r>
          </w:p>
          <w:p w:rsidR="00E92A7F" w:rsidRDefault="00E92A7F">
            <w:pPr>
              <w:pStyle w:val="ConsPlusNormal"/>
            </w:pPr>
            <w:r>
              <w:t>1 ноября 2023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Сформирован и согласован перечень оборудования для оснащения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 xml:space="preserve">Иркутская область,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(или уполномоченной организации), распорядительный акт министерства образования Иркутской области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1 ноября 2021 года,</w:t>
            </w:r>
          </w:p>
          <w:p w:rsidR="00E92A7F" w:rsidRDefault="00E92A7F">
            <w:pPr>
              <w:pStyle w:val="ConsPlusNormal"/>
            </w:pPr>
            <w:r>
              <w:t>1 ноября 2022 года,</w:t>
            </w:r>
          </w:p>
          <w:p w:rsidR="00E92A7F" w:rsidRDefault="00E92A7F">
            <w:pPr>
              <w:pStyle w:val="ConsPlusNormal"/>
            </w:pPr>
            <w:r>
              <w:t>1 ноября 2023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Заключено соглашение по реализации регионального проекта "Молодые профессионалы" на территории субъекта Российской Федерации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Соглашения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август 2021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 xml:space="preserve">Заключено финансовое соглашение в </w:t>
            </w:r>
            <w:r>
              <w:lastRenderedPageBreak/>
              <w:t>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Финансовое соглашение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31 декабря 2021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Объявлены закупки товаров, работ, услуг для создания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Извещения о проведении закупок</w:t>
            </w:r>
          </w:p>
        </w:tc>
        <w:tc>
          <w:tcPr>
            <w:tcW w:w="919" w:type="pct"/>
            <w:vAlign w:val="center"/>
          </w:tcPr>
          <w:p w:rsidR="00E92A7F" w:rsidRDefault="00E92A7F">
            <w:pPr>
              <w:pStyle w:val="ConsPlusNormal"/>
            </w:pPr>
            <w:r>
              <w:t>до 1 марта 2022 года,</w:t>
            </w:r>
          </w:p>
          <w:p w:rsidR="00E92A7F" w:rsidRDefault="00E92A7F">
            <w:pPr>
              <w:pStyle w:val="ConsPlusNormal"/>
            </w:pPr>
            <w:r>
              <w:t>до 1 марта 2023 года,</w:t>
            </w:r>
          </w:p>
          <w:p w:rsidR="00E92A7F" w:rsidRDefault="00E92A7F">
            <w:pPr>
              <w:pStyle w:val="ConsPlusNormal"/>
            </w:pPr>
            <w:r>
              <w:t>до 1 марта 2024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Повышение квалификации (</w:t>
            </w:r>
            <w:proofErr w:type="spellStart"/>
            <w:r>
              <w:t>профмастерства</w:t>
            </w:r>
            <w:proofErr w:type="spellEnd"/>
            <w:r>
              <w:t>) преподавателей, мастеров производственного обучения и сотрудников, занятых в обслуживании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Свидетельство о повышении квалификации.</w:t>
            </w:r>
          </w:p>
          <w:p w:rsidR="00E92A7F" w:rsidRDefault="00E92A7F">
            <w:pPr>
              <w:pStyle w:val="ConsPlusNormal"/>
            </w:pPr>
            <w:r>
              <w:t>Отчет по программам переподготовки кадров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  <w:jc w:val="both"/>
            </w:pPr>
            <w:r>
              <w:t>по отдельному графику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Завершено оснащение мастерских, доставлено, установлено, налажено оборудование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Акты приемки работ, товарные накладные</w:t>
            </w:r>
          </w:p>
        </w:tc>
        <w:tc>
          <w:tcPr>
            <w:tcW w:w="919" w:type="pct"/>
            <w:vAlign w:val="center"/>
          </w:tcPr>
          <w:p w:rsidR="00E92A7F" w:rsidRDefault="00E92A7F">
            <w:pPr>
              <w:pStyle w:val="ConsPlusNormal"/>
            </w:pPr>
            <w:r>
              <w:t>до 1 сентября 2022 года,</w:t>
            </w:r>
          </w:p>
          <w:p w:rsidR="00E92A7F" w:rsidRDefault="00E92A7F">
            <w:pPr>
              <w:pStyle w:val="ConsPlusNormal"/>
            </w:pPr>
            <w:r>
              <w:t>до 1 сентября 2023 года,</w:t>
            </w:r>
          </w:p>
          <w:p w:rsidR="00E92A7F" w:rsidRDefault="00E92A7F">
            <w:pPr>
              <w:pStyle w:val="ConsPlusNormal"/>
            </w:pPr>
            <w:r>
              <w:t>до 1 сентября 2024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Получена аккредитация ЦПДЭ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Сертификат об аккредитации</w:t>
            </w:r>
          </w:p>
        </w:tc>
        <w:tc>
          <w:tcPr>
            <w:tcW w:w="919" w:type="pct"/>
            <w:vAlign w:val="center"/>
          </w:tcPr>
          <w:p w:rsidR="00E92A7F" w:rsidRDefault="00E92A7F">
            <w:pPr>
              <w:pStyle w:val="ConsPlusNormal"/>
            </w:pPr>
            <w:r>
              <w:t>в течение 2022 года,</w:t>
            </w:r>
          </w:p>
          <w:p w:rsidR="00E92A7F" w:rsidRDefault="00E92A7F">
            <w:pPr>
              <w:pStyle w:val="ConsPlusNormal"/>
            </w:pPr>
            <w:r>
              <w:t>2023 года,</w:t>
            </w:r>
          </w:p>
          <w:p w:rsidR="00E92A7F" w:rsidRDefault="00E92A7F">
            <w:pPr>
              <w:pStyle w:val="ConsPlusNormal"/>
            </w:pPr>
            <w:r>
              <w:t>2024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 xml:space="preserve">Проведен мониторинг оснащения средствами обучения и приведения помещений мастерских в соответствии с концепцией </w:t>
            </w:r>
            <w:proofErr w:type="spellStart"/>
            <w:r>
              <w:t>брендирования</w:t>
            </w:r>
            <w:proofErr w:type="spellEnd"/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область, ведомственный проектный офис нацпроекта "Образование"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Письмо министерства образования Иркутской области с приложением информации, в том числе фотоотчета, согласно форме отчета</w:t>
            </w:r>
          </w:p>
        </w:tc>
        <w:tc>
          <w:tcPr>
            <w:tcW w:w="919" w:type="pct"/>
          </w:tcPr>
          <w:p w:rsidR="00E92A7F" w:rsidRDefault="00E92A7F">
            <w:pPr>
              <w:pStyle w:val="ConsPlusNormal"/>
            </w:pPr>
            <w:r>
              <w:t>до 1 декабря 2022 года,</w:t>
            </w:r>
          </w:p>
          <w:p w:rsidR="00E92A7F" w:rsidRDefault="00E92A7F">
            <w:pPr>
              <w:pStyle w:val="ConsPlusNormal"/>
            </w:pPr>
            <w:r>
              <w:t>до 1 декабря 2023 года,</w:t>
            </w:r>
          </w:p>
          <w:p w:rsidR="00E92A7F" w:rsidRDefault="00E92A7F">
            <w:pPr>
              <w:pStyle w:val="ConsPlusNormal"/>
            </w:pPr>
            <w:r>
              <w:t>до 1 декабря 2024 года</w:t>
            </w:r>
          </w:p>
        </w:tc>
      </w:tr>
      <w:tr w:rsidR="00E92A7F" w:rsidTr="001235D7">
        <w:tc>
          <w:tcPr>
            <w:tcW w:w="318" w:type="pc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0" w:type="pct"/>
          </w:tcPr>
          <w:p w:rsidR="00E92A7F" w:rsidRDefault="00E92A7F">
            <w:pPr>
              <w:pStyle w:val="ConsPlusNormal"/>
            </w:pPr>
            <w:r>
              <w:t>Открытие мастерских</w:t>
            </w:r>
          </w:p>
        </w:tc>
        <w:tc>
          <w:tcPr>
            <w:tcW w:w="1114" w:type="pct"/>
          </w:tcPr>
          <w:p w:rsidR="00E92A7F" w:rsidRDefault="00E92A7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19" w:type="pct"/>
          </w:tcPr>
          <w:p w:rsidR="00E92A7F" w:rsidRDefault="00E92A7F">
            <w:pPr>
              <w:pStyle w:val="ConsPlusNormal"/>
            </w:pPr>
            <w:r>
              <w:t>Информационное освещение в СМИ</w:t>
            </w:r>
          </w:p>
        </w:tc>
        <w:tc>
          <w:tcPr>
            <w:tcW w:w="919" w:type="pct"/>
            <w:vAlign w:val="center"/>
          </w:tcPr>
          <w:p w:rsidR="00E92A7F" w:rsidRDefault="00E92A7F">
            <w:pPr>
              <w:pStyle w:val="ConsPlusNormal"/>
            </w:pPr>
            <w:r>
              <w:t>до 1 декабря 2022 года,</w:t>
            </w:r>
          </w:p>
          <w:p w:rsidR="00E92A7F" w:rsidRDefault="00E92A7F">
            <w:pPr>
              <w:pStyle w:val="ConsPlusNormal"/>
            </w:pPr>
            <w:r>
              <w:t>до 1 декабря 2023 года,</w:t>
            </w:r>
          </w:p>
          <w:p w:rsidR="00E92A7F" w:rsidRDefault="00E92A7F">
            <w:pPr>
              <w:pStyle w:val="ConsPlusNormal"/>
            </w:pPr>
            <w:r>
              <w:t>до 1 декабря 2024 года</w:t>
            </w:r>
          </w:p>
        </w:tc>
      </w:tr>
      <w:bookmarkEnd w:id="1"/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right"/>
      </w:pPr>
      <w:r>
        <w:t>Заместитель Председателя</w:t>
      </w:r>
    </w:p>
    <w:p w:rsidR="00E92A7F" w:rsidRDefault="00E92A7F">
      <w:pPr>
        <w:pStyle w:val="ConsPlusNormal"/>
        <w:jc w:val="right"/>
      </w:pPr>
      <w:r>
        <w:lastRenderedPageBreak/>
        <w:t>Правительства Иркутской области</w:t>
      </w:r>
    </w:p>
    <w:p w:rsidR="00E92A7F" w:rsidRDefault="00E92A7F">
      <w:pPr>
        <w:pStyle w:val="ConsPlusNormal"/>
        <w:jc w:val="right"/>
      </w:pPr>
      <w:r>
        <w:t>В.Ф.ВОБЛИКОВА</w:t>
      </w:r>
    </w:p>
    <w:p w:rsidR="00E92A7F" w:rsidRDefault="00E92A7F">
      <w:pPr>
        <w:sectPr w:rsidR="00E92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A7F" w:rsidRDefault="00E92A7F">
      <w:pPr>
        <w:pStyle w:val="ConsPlusNormal"/>
        <w:jc w:val="right"/>
        <w:outlineLvl w:val="0"/>
      </w:pPr>
      <w:r>
        <w:lastRenderedPageBreak/>
        <w:t>Утверждена</w:t>
      </w:r>
    </w:p>
    <w:p w:rsidR="00E92A7F" w:rsidRDefault="00E92A7F">
      <w:pPr>
        <w:pStyle w:val="ConsPlusNormal"/>
        <w:jc w:val="right"/>
      </w:pPr>
      <w:r>
        <w:t>распоряжением Правительства</w:t>
      </w:r>
    </w:p>
    <w:p w:rsidR="00E92A7F" w:rsidRDefault="00E92A7F">
      <w:pPr>
        <w:pStyle w:val="ConsPlusNormal"/>
        <w:jc w:val="right"/>
      </w:pPr>
      <w:r>
        <w:t>Иркутской области</w:t>
      </w:r>
    </w:p>
    <w:p w:rsidR="00E92A7F" w:rsidRDefault="00E92A7F">
      <w:pPr>
        <w:pStyle w:val="ConsPlusNormal"/>
        <w:jc w:val="right"/>
      </w:pPr>
      <w:r>
        <w:t>от 24 июня 2021 г. N 351-рп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</w:pPr>
      <w:bookmarkStart w:id="2" w:name="P133"/>
      <w:bookmarkEnd w:id="2"/>
      <w:r>
        <w:t>КОНЦЕПЦИЯ</w:t>
      </w:r>
    </w:p>
    <w:p w:rsidR="00E92A7F" w:rsidRDefault="00E92A7F">
      <w:pPr>
        <w:pStyle w:val="ConsPlusTitle"/>
        <w:jc w:val="center"/>
      </w:pPr>
      <w:r>
        <w:t>СОЗДАНИЯ (ОБНОВЛЕНИЯ) МАТЕРИАЛЬНО-ТЕХНИЧЕСКОЙ БАЗЫ</w:t>
      </w:r>
    </w:p>
    <w:p w:rsidR="00E92A7F" w:rsidRDefault="00E92A7F">
      <w:pPr>
        <w:pStyle w:val="ConsPlusTitle"/>
        <w:jc w:val="center"/>
      </w:pPr>
      <w:r>
        <w:t>ОБРАЗОВАТЕЛЬНЫХ ОРГАНИЗАЦИЙ, РЕАЛИЗУЮЩИХ ПРОГРАММЫ СРЕДНЕГО</w:t>
      </w:r>
    </w:p>
    <w:p w:rsidR="00E92A7F" w:rsidRDefault="00E92A7F">
      <w:pPr>
        <w:pStyle w:val="ConsPlusTitle"/>
        <w:jc w:val="center"/>
      </w:pPr>
      <w:r>
        <w:t>ПРОФЕССИОНАЛЬНОГО ОБРАЗОВАНИЯ, В РАМКАХ ФЕДЕРАЛЬНОГО ПРОЕКТА</w:t>
      </w:r>
    </w:p>
    <w:p w:rsidR="00E92A7F" w:rsidRDefault="00E92A7F">
      <w:pPr>
        <w:pStyle w:val="ConsPlusTitle"/>
        <w:jc w:val="center"/>
      </w:pPr>
      <w:r>
        <w:t>"МОЛОДЫЕ ПРОФЕССИОНАЛЫ (ПОВЫШЕНИЕ КОНКУРЕНТОСПОСОБНОСТИ</w:t>
      </w:r>
    </w:p>
    <w:p w:rsidR="00E92A7F" w:rsidRDefault="00E92A7F">
      <w:pPr>
        <w:pStyle w:val="ConsPlusTitle"/>
        <w:jc w:val="center"/>
      </w:pPr>
      <w:r>
        <w:t>ПРОФЕССИОНАЛЬНОГО ОБРАЗОВАНИЯ)" НАЦИОНАЛЬНОГО ПРОЕКТА</w:t>
      </w:r>
    </w:p>
    <w:p w:rsidR="00E92A7F" w:rsidRDefault="00E92A7F">
      <w:pPr>
        <w:pStyle w:val="ConsPlusTitle"/>
        <w:jc w:val="center"/>
      </w:pPr>
      <w:r>
        <w:t>"ОБРАЗОВАНИЕ" ГОСУДАРСТВЕННОЙ ПРОГРАММЫ РОССИЙСКОЙ ФЕДЕРАЦИИ</w:t>
      </w:r>
    </w:p>
    <w:p w:rsidR="00E92A7F" w:rsidRDefault="00E92A7F">
      <w:pPr>
        <w:pStyle w:val="ConsPlusTitle"/>
        <w:jc w:val="center"/>
      </w:pPr>
      <w:r>
        <w:t>"РАЗВИТИЕ ОБРАЗОВАНИЯ" В ИРКУТСКОЙ ОБЛАСТИ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Иркутская область - один из лидирующих регионов Сибирского федерального округа по важнейшим макроэкономическим показателям: валовому региональному продукту, прибыльности предприятий, налоговой отдаче, инвестициям в основной капитал. По площади, которая составляет 767,9 тыс. км</w:t>
      </w:r>
      <w:r>
        <w:rPr>
          <w:vertAlign w:val="superscript"/>
        </w:rPr>
        <w:t>2</w:t>
      </w:r>
      <w:r>
        <w:t xml:space="preserve"> регион занимает второе место среди регионов Сибири и пятое место в России. Численность населения Иркутской области по состоянию на 1 января 2021 года составила 2 391,2 тыс. человек. Протяженность территории региона обуславливает низкую плотность населения, которая составляет 3,07 чел./км</w:t>
      </w:r>
      <w:r>
        <w:rPr>
          <w:vertAlign w:val="superscript"/>
        </w:rPr>
        <w:t>2</w:t>
      </w:r>
      <w:r>
        <w:t>. Основная часть населения (78,6%) сосредоточена в городах, наиболее крупные из которых - Иркутск, Ангарск, Братск.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Иркутская область обладает развитым промышленным комплексом. Основными отраслями специализации региона являются электроэнергетика, алюминиевая промышленность, дорожное строительство и транспорт, нефтеперерабатывающая и нефтехимическая отрасли, сельское хозяйство.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Как обозначено в проекте Стратегии социально-экономического развития Иркутской области на период до 2036 года (в настоящее время внесен в Законодательное Собрание Иркутской области Указом Губернатора Иркутской области от 2 ноября 2020 года N 311-уг для рассмотрения и утверждения, https://irkobl.ru/sites/economy/socio-economic/project2036/?type=special) (далее - проект Стратегии социально-экономического развития Иркутской области), регион обладает высоким интеллектуальным, промышленным и природно-ресурсным потенциалом, имеет ряд конкурентных преимуществ: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относительно низкая стоимость энергоресурсов, что обусловлено наличием каскада гидроэлектростанций на территории области и, как следствие, высоким уровнем развития энергетического комплекса;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наличие крупных запасов доступных полезных ископаемых, одним из самых богатых минеральными ресурсами в России. В балансе полезных ископаемых на территории Иркутской области учтен 71 вид минерального сырья. Главными минеральными ресурсами являются углеводородное сырье, золото, слюда, железо, бурый и каменный уголь, поваренная соль;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высокий промышленный потенциал, выраженный в наличии производственных мощностей в секторах: машиностроение, металлургия, химия и нефтехимия, горнодобывающая промышленность, агропромышленный комплекс;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уникальные рекреационные, лесные и водные ресурсы;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транспортно-логистический потенциал (БАМ, Транссиб, автомобильные трассы федерального значения, речные магистрали, международные аэропорты в Иркутске и Братске);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развитый научно-образовательный комплекс (в регионе действуют шестнадцать </w:t>
      </w:r>
      <w:r>
        <w:lastRenderedPageBreak/>
        <w:t>учреждений РАН, более двадцати прикладных научно-исследовательских и проектных институтов), концентрация квалифицированного трудового потенциала.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соответствии с данными прогноза кадровых потребностей экономики Иркутской области на основе потребностей инвесторов и прогноза социально-экономического развития региона на период до 2028 года (далее - прогноз кадровых потребностей экономики Иркутской области), сформированного министерством труда и занятости Иркутской области (https://www.irkzan.ru/content/прогноз_потребности_в_кадрах), наибольшую долю потребности составляют работники со средним профессиональным образованием - 65,8% от общей потребности в кадрах.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Рисунок 1. Структура потребности в кадрах по уровням</w:t>
      </w:r>
    </w:p>
    <w:p w:rsidR="00E92A7F" w:rsidRDefault="00E92A7F">
      <w:pPr>
        <w:pStyle w:val="ConsPlusTitle"/>
        <w:jc w:val="center"/>
      </w:pPr>
      <w:r>
        <w:t>образования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center"/>
      </w:pPr>
      <w:r>
        <w:t>Рисунок не приводится.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В ведомственной целевой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министерства труда и занятости Иркутской области "Содействие занятости населения Иркутской области" на 2019 - 2024 годы (утверждена приказом министерства труда и занятости Иркутской области 24 октября 2018 года N 54-мпр) указывается, что, несмотря на регистрируемую значительную потребность в работниках, в регионе сохраняется структурный дисбаланс спроса и предложения рабочей силы. В то время как на регистрируемом региональном рынке труда преобладает спрос на рабочие профессии, лишь 52% обратившихся в органы занятости населения имеют соответствующие рабочие профессии.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Одним из путей решения задачи снижения дисбаланса на рынке труда является синхронизация системы профессионального образования с потребностями в квалифицированных кадрах, основным предназначением которой является выстраивание тесной взаимосвязи между процессом развития способностей личности (сфера образования) и оптимальным использованием человеческих ресурсов (сфера экономики).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Региональная образовательная экосистема находится в состоянии непрерывного обновления, тем самым предоставляя обучающимся новые образовательные возможности, а промышленности и бизнесу - квалифицированные кадровые ресурсы. Образовательный процесс в такой экосистеме поддерживается новыми образовательными технологиями и постоянно модернизируемым содержанием, ориентированным на практику и меняющуюся социокультурную ситуацию, соответственно, активно требуя постоянного обновления материально-технической базы образовательных организаций.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Достижение приоритетных целей, решение тактических задач и реализация практических мер в сфере профессионального образования региона осуществляются в согласовании с основными существующими в настоящее время документами стратегического планирования, принятыми на федеральном и региональном уровнях: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региональным проектом "Молодые профессионалы (Повышение конкурентоспособности профессионального образования)" национального проекта "Образование" (в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ведомственной целевой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Иркутской области "Модернизация профессионального образования" на 2019 - 2024 годы (утверждена приказом министерства образования Иркутской области от 30 октября 2018 года N 120-мпр)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Иркутской области "Развитие образования" на 2019 - 2024 годы (утверждена постановлением Правительства Иркутской области от 9 ноября 2018 года N 820-пп) (далее - ВЦП "Модернизация профессионального образования");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 w:history="1">
        <w:r>
          <w:rPr>
            <w:color w:val="0000FF"/>
          </w:rPr>
          <w:t>списком</w:t>
        </w:r>
      </w:hyperlink>
      <w:r>
        <w:t xml:space="preserve"> 50 наиболее востребованных на рынке труда, новых и перспективных профессий, требующих среднего профессионального образования (утвержден приказом Минтруда России от 26 октября 2020 года N 744);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перечнем наиболее востребованных и перспективных профессий и специальностей в Иркутской области (утвержден распоряжением заместителя Председателя Правительства Иркутской области от 23 июня 2021 года N 42-рзп);</w:t>
      </w:r>
    </w:p>
    <w:p w:rsidR="00E92A7F" w:rsidRDefault="00E92A7F">
      <w:pPr>
        <w:spacing w:after="1"/>
      </w:pPr>
    </w:p>
    <w:p w:rsidR="00E92A7F" w:rsidRDefault="00E92A7F">
      <w:pPr>
        <w:pStyle w:val="ConsPlusNormal"/>
        <w:spacing w:before="28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перечнем</w:t>
        </w:r>
      </w:hyperlink>
      <w:r>
        <w:t xml:space="preserve"> приоритетных профессий (специальностей) для профессионального обучения и дополнительного профессионального образования безработных граждан (утвержден приказом министерства труда и занятости Иркутской области от 29 декабря 2020 г. N 7-мпр) (далее - перечень приоритетных профессий для ПО и ДПО) (приложение 1);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внедрению регионального стандарта кадрового обеспечения промышленного роста в Иркутской области на 2020 - 2021 годы (утвержден распоряжением Правительства Иркутской области от 4 сентября 2020 года N 771-рп);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перечнем</w:t>
        </w:r>
      </w:hyperlink>
      <w:r>
        <w:t xml:space="preserve"> приоритетных для Иркутской области групп компетенций и </w:t>
      </w:r>
      <w:hyperlink r:id="rId17" w:history="1">
        <w:r>
          <w:rPr>
            <w:color w:val="0000FF"/>
          </w:rPr>
          <w:t>перечнем</w:t>
        </w:r>
      </w:hyperlink>
      <w:r>
        <w:t xml:space="preserve"> компетенций для оснащения государственных профессиональных образовательных организаций Иркутской области, реализующих образовательные программы среднего профессионального образования, современной материально-технической базой (утвержден распоряжением Правительства Иркутской области от 22 мая сентября 2020 года N 474-рп) (приложение 2);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планами мероприятий по развитию кадрового потенциала и соглашениями с отраслевыми рабочими группами, действующими в сферах: жилищно-коммунальное хозяйство; туризм и гостеприимство; строительство; агропромышленный комплекс; транспорт;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дорожными картами по взаимодействию с крупными инвестиционными компаниями по вопросам подготовки кадров (ООО "Газпром добыча Иркутск", АО "Группа "Илим", ООО "РУСАЛ </w:t>
      </w:r>
      <w:proofErr w:type="spellStart"/>
      <w:r>
        <w:t>Тайшетский</w:t>
      </w:r>
      <w:proofErr w:type="spellEnd"/>
      <w:r>
        <w:t xml:space="preserve"> Алюминиевый Завод", ООО "Иркутская нефтяная компания").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Одной из приоритетных тактических задач, обозначенных в проекте Стратегии социально-экономического развития Иркутской области, является усиление вклада системы среднего профессионального образования в экономическое, социальное и культурное развитие региона.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Система среднего профессионального образования Иркутской области представлена 81 профессиональной образовательной организацией, распределенной по ведомствам: 56 учреждений министерства образования Иркутской области, 10 - министерства здравоохранения Иркутской области, 5 - министерства культуры и архивов Иркутской области, 1 - министерства социального развития, опеки и попечительства Иркутской области, 1 - министерства спорта Иркутской области; 1 организация федерального подчинения и 7 частных профессиональных образовательных организаций. Также программы среднего профессионального образования реализуются на базе 12 организаций высшего образования.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Доступность системы среднего профессионального образования обеспечивается территориальным расположением профессиональных образовательных организаций: учреждения, реализующие программы СПО, и их филиалы присутствуют во всех муниципальных образованиях, кроме четырех.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Профессиональная подготовка квалифицированных рабочих, служащих и специалистов среднего звена осуществляется по 28 укрупненным группам профессий и специальностей, 92 специальностям, 49 профессиям среднего профессионального образования, 260 программам профессионального обучения (рисунок 2 - не приводится). Общая численность студентов, обучающихся по всем формам обучения, составляет 60 720 человек. Ежегодно выпуск составляет </w:t>
      </w:r>
      <w:r>
        <w:lastRenderedPageBreak/>
        <w:t>около 13 тысяч студентов.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Рисунок 2. Структура подготовки кадров в региональной</w:t>
      </w:r>
    </w:p>
    <w:p w:rsidR="00E92A7F" w:rsidRDefault="00E92A7F">
      <w:pPr>
        <w:pStyle w:val="ConsPlusTitle"/>
        <w:jc w:val="center"/>
      </w:pPr>
      <w:r>
        <w:t>системе СПО (количество обучающихся, чел.)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center"/>
      </w:pPr>
      <w:r>
        <w:t>Рисунок не приводится.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Учет потребности регионального рынка труда осуществляется посредством взаимодействия профессиональных образовательных организаций с предприятиями, организациями Иркутской области, местными органами власти по согласованию направлений и объемов подготовки квалифицированных кадров. По востребованным направлениям подготовки наблюдается устойчивый рост контингента обучающихся. Доля профессиональных образовательных организаций, в которых осуществляется подготовка кадров по ТОП-50 профессиям и специальностям СПО, в 2021 году составила 71%.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Для расширения объемов реализации </w:t>
      </w:r>
      <w:proofErr w:type="spellStart"/>
      <w:r>
        <w:t>разноуровневых</w:t>
      </w:r>
      <w:proofErr w:type="spellEnd"/>
      <w:r>
        <w:t xml:space="preserve"> программ с целью эффективного использования ресурсов системы среднего профессионального образования продолжают развиваться инфраструктурные единицы подготовки кадров по востребованным на рынке труда профессиям и специальностям: ресурсные центры профессионального образования (на базе 10 организаций); многофункциональные центры прикладных квалификаций (на базе 7 организаций); специализированные центры компетенций (на базе 23 организаций); Центр опережающей профессиональной подготовки на базе ГБПОУ ИО "Тулунский аграрный техникум".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ходе реализации регионального проекта "Молодые профессионалы (Повышение конкурентоспособности профессионального образования)" национального проекта "Образование" в 2019, 2020 годах созданы (оснащены) по стандартам Ворлдскиллс мастерские по направлениям "Искусство, дизайн и сфера услуг" (4 мастерские в городе Иркутск), "Строительство" (5 мастерских в городе Иркутск), "Информационные и коммуникационные технологии" (5 мастерских в городе Черемхово), "Промышленные и инженерные технологии" (10 мастерских в городе Иркутск), в 2021 году - по направлению "Социальная сфера" (5 мастерских в городе Иркутск, 4 мастерские в Усть-Ордынском Бурятском округе).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Сопровождение проектов по повышению качества профессиональной подготовки специалистов среднего звена и рабочих кадров, оказание методической помощи педагогам системы профессионального образования осуществляют региональные методические службы, созданные в ГАУ ДПО ИО "Региональный институт кадровой политики и непрерывного профессионального образования" (в </w:t>
      </w:r>
      <w:proofErr w:type="spellStart"/>
      <w:r>
        <w:t>Иркутско</w:t>
      </w:r>
      <w:proofErr w:type="spellEnd"/>
      <w:r>
        <w:t xml:space="preserve">-Байкальской территории, </w:t>
      </w:r>
      <w:proofErr w:type="spellStart"/>
      <w:r>
        <w:t>Ангарско</w:t>
      </w:r>
      <w:proofErr w:type="spellEnd"/>
      <w:r>
        <w:t>-Черемховской территории, Западной и Северной территориях).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основу создания указанных инфраструктурных единиц - "точек роста" качества профессионального образования, положен принцип обеспечения равного доступа населения Иркутской области, в том числе молодежи, к научно-методическим, материально-техническим, информационным, кадровым ресурсам региональной системы профессионального образования, учет территориальной особенности Иркутской области, потребностей отраслевых территориальных кластеров в квалифицированных кадрах.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Для создания эффективной региональной системы профессионального образования большое внимание уделяется процессу профессионального самоопределения и профессиональной ориентации школьников, молодежи и незанятого населения региона на востребованные в регионе профессии и специальности. Постановлением Правительства Иркутской области создан и ведет активную работу Совет по профессиональной ориентации, в период с 2016 по 2020 годы реализовывалась </w:t>
      </w:r>
      <w:hyperlink r:id="rId18" w:history="1">
        <w:r>
          <w:rPr>
            <w:color w:val="0000FF"/>
          </w:rPr>
          <w:t>Концепция</w:t>
        </w:r>
      </w:hyperlink>
      <w:r>
        <w:t xml:space="preserve"> развития системы сопровождения профессионального самоопределения детей и молодежи Иркутской области (утверждена приказами министерства образования Иркутской области, министерства труда и занятости Иркутской области, министерства по молодежной политике Иркутской области, министерства </w:t>
      </w:r>
      <w:r>
        <w:lastRenderedPageBreak/>
        <w:t>сельского хозяйства Иркутской области от 2 августа 2016 года N 85-мпр/55-мпр/11-мпр/111-мпр). Реализуется проект "Мир профессий - территория выбора", цель которого выстроить системную работу в муниципальных образованиях по сопровождению профессионального самоопределения детей и молодежи. В 2020 году 6 пилотных площадок запустили муниципальные модели профессионального самоопределения школьников. В 2021 году запланирован запуск моделей еще в 4 муниципальных объединениях Иркутской области.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Среди наиболее эффективных форм профессиональной ориентации и самоопределения - профессиональные пробы, областные конкурсы профессионального мастерства, профессиональное информирование.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 целью популяризации рабочих профессий, повышения статуса и стандартов профессиональной подготовки, внедрения в систему профессионального образования лучших национальных и международных практик, а также профессиональной ориентации молодежи на востребованные в регионе профессии с 2016 года профессиональные образовательные организации Иркутской области принимают участие в движении "Молодые профессионалы"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). За шесть лет чемпионатной истории региона в соревнованиях приняли участие свыше 1300 студентов и школьников. Непрерывно расширяется экспертное сообщество Иркутской области: свыше 1600 специалистов приняли участие в оценке выполнения конкурсных заданий на региональных чемпионатах в качестве экспертов, 50 из них имеют свидетельство на право участия в чемпионатах в качестве главных экспертов. 25 профессиональных образовательных организаций получили статус специализированного центра компетенций.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Настоящая Концепция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профессионалы" (Повышение конкурентоспособности профессионального образования)" национального проекта "Образование" (далее - Концепция) позволит продолжить реализацию территориально-кластерного принципа подготовки кадров и на основе развивающегося сетевого взаимодействия учреждений профессионального образования будет способствовать дальнейшей синхронизации системы подготовки кадров с потребностями экономики региона.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рамках Концепции планируется создание 77 мастерских в 29 профессиональных образовательных организациях Иркутской области </w:t>
      </w:r>
      <w:r w:rsidRPr="00E92A7F">
        <w:rPr>
          <w:highlight w:val="yellow"/>
        </w:rPr>
        <w:t>(приложение 3)</w:t>
      </w:r>
      <w:r>
        <w:t xml:space="preserve"> по следующим направлениям: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1. Искусство, дизайн и сфера услуг - 2 мастерские в городе Иркутск, 3 мастерские в городе Братск, 2 мастерские в Усть-Ордынском Бурятском округе.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2. Строительство - 5 мастерских в городе Иркутск, 5 мастерских в городе Ангарск, 5 мастерских в городе Братск, 2 мастерские в городе Тулун.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3. Информационные и коммуникационные технологии - 5 мастерских в городе Иркутск, 2 мастерские в городе Ангарск.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4. Обслуживание транспорта и логистика - 3 мастерские в городе Ангарск, 2 мастерские в городе Зима, 2 мастерские в городе Нижнеудинск, 2 мастерские в городе Братск, 2 мастерские в городе Киренск.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5. Промышленные и инженерные технологии - 2 мастерские в городе Иркутск, 3 мастерские в городе Ангарск, 3 мастерские в городе Саянск, 2 мастерские в городе Братск, 2 мастерские в городе Тайшет.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6. Сельское хозяйство - 3 мастерские в городе Иркутск, 2 мастерские в поселке Железнодорожник </w:t>
      </w:r>
      <w:proofErr w:type="spellStart"/>
      <w:r>
        <w:t>Усольского</w:t>
      </w:r>
      <w:proofErr w:type="spellEnd"/>
      <w:r>
        <w:t xml:space="preserve"> района, 2 мастерские в поселке Балаганск, 2 мастерские в поселке Бохан Усть-Ордынского Бурятского округа, 2 мастерские в поселке </w:t>
      </w:r>
      <w:proofErr w:type="spellStart"/>
      <w:r>
        <w:t>Кимильтей</w:t>
      </w:r>
      <w:proofErr w:type="spellEnd"/>
      <w:r>
        <w:t xml:space="preserve"> </w:t>
      </w:r>
      <w:proofErr w:type="spellStart"/>
      <w:r>
        <w:t>Зиминского</w:t>
      </w:r>
      <w:proofErr w:type="spellEnd"/>
      <w:r>
        <w:t xml:space="preserve"> района.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>7. Социальная сфера - 2 мастерские в городе Иркутск, 6 мастерских в городе Братск, 2 мастерские в городе Черемхово, 2 мастерские в городе Усолье-Сибирское.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Планируемое распределение современных мастерских (с учетом созданных в 2019 - 2021 годах) по территориальным кластерам к 2024 году:</w:t>
      </w:r>
    </w:p>
    <w:p w:rsidR="00E92A7F" w:rsidRDefault="00E92A7F">
      <w:pPr>
        <w:pStyle w:val="ConsPlusNormal"/>
        <w:jc w:val="both"/>
      </w:pPr>
    </w:p>
    <w:p w:rsidR="00E92A7F" w:rsidRDefault="00E92A7F">
      <w:pPr>
        <w:sectPr w:rsidR="00E92A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1644"/>
        <w:gridCol w:w="1667"/>
        <w:gridCol w:w="1376"/>
        <w:gridCol w:w="1667"/>
      </w:tblGrid>
      <w:tr w:rsidR="00E92A7F">
        <w:tc>
          <w:tcPr>
            <w:tcW w:w="3784" w:type="dxa"/>
          </w:tcPr>
          <w:p w:rsidR="00E92A7F" w:rsidRDefault="00E92A7F">
            <w:pPr>
              <w:pStyle w:val="ConsPlusNormal"/>
              <w:jc w:val="center"/>
            </w:pPr>
            <w:r>
              <w:lastRenderedPageBreak/>
              <w:t>Направление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proofErr w:type="spellStart"/>
            <w:r>
              <w:t>Иркутско</w:t>
            </w:r>
            <w:proofErr w:type="spellEnd"/>
            <w:r>
              <w:t>-Байкальская территория (с Усть-Ордынским Бурятским округом)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proofErr w:type="spellStart"/>
            <w:r>
              <w:t>Ангарско</w:t>
            </w:r>
            <w:proofErr w:type="spellEnd"/>
            <w:r>
              <w:t>-Черемховская территория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Западная территория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Северная территория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Искусство, дизайн и сфера услуг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</w:pPr>
          </w:p>
        </w:tc>
        <w:tc>
          <w:tcPr>
            <w:tcW w:w="1376" w:type="dxa"/>
          </w:tcPr>
          <w:p w:rsidR="00E92A7F" w:rsidRDefault="00E92A7F">
            <w:pPr>
              <w:pStyle w:val="ConsPlusNormal"/>
            </w:pP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3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Строительство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Информационные и коммуникационные технологии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</w:pPr>
          </w:p>
        </w:tc>
        <w:tc>
          <w:tcPr>
            <w:tcW w:w="1667" w:type="dxa"/>
          </w:tcPr>
          <w:p w:rsidR="00E92A7F" w:rsidRDefault="00E92A7F">
            <w:pPr>
              <w:pStyle w:val="ConsPlusNormal"/>
            </w:pP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Обслуживание транспорта и логистика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</w:pP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Промышленные и инженерные технологии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</w:pP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</w:pPr>
            <w:r>
              <w:t>Социальная сфера</w:t>
            </w:r>
          </w:p>
        </w:tc>
        <w:tc>
          <w:tcPr>
            <w:tcW w:w="1644" w:type="dxa"/>
          </w:tcPr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11,</w:t>
            </w:r>
          </w:p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в том числе 2 медицинского профиля</w:t>
            </w:r>
          </w:p>
        </w:tc>
        <w:tc>
          <w:tcPr>
            <w:tcW w:w="1667" w:type="dxa"/>
          </w:tcPr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4,</w:t>
            </w:r>
          </w:p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в том числе 2 медицинского профиля</w:t>
            </w:r>
          </w:p>
        </w:tc>
        <w:tc>
          <w:tcPr>
            <w:tcW w:w="1376" w:type="dxa"/>
          </w:tcPr>
          <w:p w:rsidR="00E92A7F" w:rsidRPr="00E92A7F" w:rsidRDefault="00E92A7F">
            <w:pPr>
              <w:pStyle w:val="ConsPlusNormal"/>
              <w:rPr>
                <w:highlight w:val="yellow"/>
              </w:rPr>
            </w:pPr>
          </w:p>
        </w:tc>
        <w:tc>
          <w:tcPr>
            <w:tcW w:w="1667" w:type="dxa"/>
          </w:tcPr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6,</w:t>
            </w:r>
          </w:p>
          <w:p w:rsidR="00E92A7F" w:rsidRPr="00E92A7F" w:rsidRDefault="00E92A7F">
            <w:pPr>
              <w:pStyle w:val="ConsPlusNormal"/>
              <w:jc w:val="center"/>
              <w:rPr>
                <w:highlight w:val="yellow"/>
              </w:rPr>
            </w:pPr>
            <w:r w:rsidRPr="00E92A7F">
              <w:rPr>
                <w:highlight w:val="yellow"/>
              </w:rPr>
              <w:t>в том числе 3 медицинского профиля</w:t>
            </w:r>
          </w:p>
        </w:tc>
      </w:tr>
      <w:tr w:rsidR="00E92A7F">
        <w:tc>
          <w:tcPr>
            <w:tcW w:w="3784" w:type="dxa"/>
          </w:tcPr>
          <w:p w:rsidR="00E92A7F" w:rsidRDefault="00E92A7F">
            <w:pPr>
              <w:pStyle w:val="ConsPlusNormal"/>
              <w:jc w:val="center"/>
            </w:pPr>
            <w:r>
              <w:t>ВСЕГО: 110 мастерских</w:t>
            </w:r>
          </w:p>
        </w:tc>
        <w:tc>
          <w:tcPr>
            <w:tcW w:w="1644" w:type="dxa"/>
          </w:tcPr>
          <w:p w:rsidR="00E92A7F" w:rsidRDefault="00E92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76" w:type="dxa"/>
          </w:tcPr>
          <w:p w:rsidR="00E92A7F" w:rsidRDefault="00E92A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7" w:type="dxa"/>
          </w:tcPr>
          <w:p w:rsidR="00E92A7F" w:rsidRDefault="00E92A7F">
            <w:pPr>
              <w:pStyle w:val="ConsPlusNormal"/>
              <w:jc w:val="center"/>
            </w:pPr>
            <w:r>
              <w:t>20</w:t>
            </w:r>
          </w:p>
        </w:tc>
      </w:tr>
    </w:tbl>
    <w:p w:rsidR="00E92A7F" w:rsidRDefault="00E92A7F">
      <w:pPr>
        <w:sectPr w:rsidR="00E92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1. Искусство, дизайн и сфера</w:t>
      </w:r>
    </w:p>
    <w:p w:rsidR="00E92A7F" w:rsidRDefault="00E92A7F">
      <w:pPr>
        <w:pStyle w:val="ConsPlusTitle"/>
        <w:jc w:val="center"/>
      </w:pPr>
      <w:r>
        <w:t>услуг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Согласно данным прогноза кадровых потребностей экономики Иркутской области потребность в кадрах по профессиям "повар", "кондитер", "пекарь" составляет 2,0 тыс. человек.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Программа подготовки квалифицированных рабочих и служащих по профессии Повар, кондитер входит в перечень наиболее востребованных и перспективных профессий и специальностей в Иркутской области, а также включена в перечень приоритетных профессий ПО и ДПО.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Указанные профессии востребованы у выпускников общеобразовательных организаций, поступающих в профессиональные образовательные организации, что подтверждается высоким проходным баллом: в 2020 году средний балл аттестата поступивших на обучение по профессии 43.01.09 Повар, кондитер, по специальности 43.02.15 Поварское и кондитерское дело составил 4,2 балла.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Реализация образовательных программ в учреждениях СПО: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1"/>
        <w:gridCol w:w="1489"/>
        <w:gridCol w:w="2134"/>
        <w:gridCol w:w="1489"/>
      </w:tblGrid>
      <w:tr w:rsidR="00E92A7F">
        <w:tc>
          <w:tcPr>
            <w:tcW w:w="3511" w:type="dxa"/>
          </w:tcPr>
          <w:p w:rsidR="00E92A7F" w:rsidRDefault="00E92A7F">
            <w:pPr>
              <w:pStyle w:val="ConsPlusNormal"/>
              <w:jc w:val="center"/>
            </w:pPr>
            <w:r>
              <w:t>Профессия / специальность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СПО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профессионального обучения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ДПО и ПО</w:t>
            </w:r>
          </w:p>
        </w:tc>
      </w:tr>
      <w:tr w:rsidR="00E92A7F">
        <w:tc>
          <w:tcPr>
            <w:tcW w:w="3511" w:type="dxa"/>
          </w:tcPr>
          <w:p w:rsidR="00E92A7F" w:rsidRDefault="00E92A7F">
            <w:pPr>
              <w:pStyle w:val="ConsPlusNormal"/>
              <w:jc w:val="center"/>
            </w:pPr>
            <w:r>
              <w:t>43.01.09. Повар, кондитер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34" w:type="dxa"/>
            <w:vMerge w:val="restar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9" w:type="dxa"/>
            <w:vMerge w:val="restar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23</w:t>
            </w:r>
          </w:p>
        </w:tc>
      </w:tr>
      <w:tr w:rsidR="00E92A7F">
        <w:tc>
          <w:tcPr>
            <w:tcW w:w="3511" w:type="dxa"/>
          </w:tcPr>
          <w:p w:rsidR="00E92A7F" w:rsidRDefault="00E92A7F">
            <w:pPr>
              <w:pStyle w:val="ConsPlusNormal"/>
              <w:jc w:val="center"/>
            </w:pPr>
            <w:r>
              <w:t>43.02.15 Поварское и кондитерское дело</w:t>
            </w:r>
          </w:p>
        </w:tc>
        <w:tc>
          <w:tcPr>
            <w:tcW w:w="1489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  <w:vMerge/>
          </w:tcPr>
          <w:p w:rsidR="00E92A7F" w:rsidRDefault="00E92A7F"/>
        </w:tc>
        <w:tc>
          <w:tcPr>
            <w:tcW w:w="1489" w:type="dxa"/>
            <w:vMerge/>
          </w:tcPr>
          <w:p w:rsidR="00E92A7F" w:rsidRDefault="00E92A7F"/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Большая часть подготовки кадров сосредоточена в </w:t>
      </w:r>
      <w:proofErr w:type="spellStart"/>
      <w:r>
        <w:t>Иркутско</w:t>
      </w:r>
      <w:proofErr w:type="spellEnd"/>
      <w:r>
        <w:t xml:space="preserve">-Байкальской и </w:t>
      </w:r>
      <w:proofErr w:type="spellStart"/>
      <w:r>
        <w:t>Ангарско</w:t>
      </w:r>
      <w:proofErr w:type="spellEnd"/>
      <w:r>
        <w:t>-Черемховской территориях (84% от всех учреждений, ведущих обучение по данной профессии/специальности).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Средний показатель трудоустройства по полученной профессии (специальности) составляет 68%, что выше среднего показателя трудоустройства в региональной системе СПО в целом. Выпускники (более 1200 человек ежегодно) кроме традиционного трудоустройства на предприятия общественного питания, востребованы в гостиничном и туристическом бизнесе, поскольку Иркутская область традиционно является привлекательной для внутреннего и внешнего туризма. По данным агентства по туризму Иркутской области, в 2019 году Иркутская область сохранила 13 место в рейтинге туристической привлекательности среди регионов России, входит в топ-10 самых популярных у иностранных туристов регионов России; количество туристских прибытий составило в 2019 году 1728,3 тыс. человек, в том числе количество иностранных туристов выросло в 1,74 раза и составило 367,8 тыс. человек.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Мероприятия по удовлетворению потребности туристической отрасли в поварах отражены в межотраслевом соглашении и плане мероприятий ("дорожной карте") подготовки кадров для сферы туризма Иркутской области на 2021 - 2024 годы (утвержден Агентством по туризму Иркутской области и министерством образования Иркутской области от 23 апреля 2021 года).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Часть выпускников трудоустраиваются в образовательные организации </w:t>
      </w:r>
      <w:r>
        <w:lastRenderedPageBreak/>
        <w:t>(общеобразовательные, дошкольные учреждения), т.к. в настоящее время отмечается проблема недостаточности кадрового состава пищеблоков учебных заведений.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Материально-техническая база по данным направлениям подготовки создается в основном за счет средств, предусмотренных в ВЦП "Модернизация профессионального образования", и средств от приносящей доход деятельности образовательных организаций. Финансовые вложения в развитие компетенции "Поварское дело" позволили аккредитовать специализированный центр компетенций, 17 Центров проведения демонстрационного экзамена (еще 6 планируется аккредитовать до конца текущего года), создать на базе 2 организаций центры обучения (в рамках реализации мероприятий по организации профессионального обучения и дополнительного профессионального образования отдельных категорий граждан).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2021 году компетенции "Поварское дело" 111 обучающихся профессиональных образовательных организаций проходят промежуточную аттестацию с использованием механизма демонстрационного экзамена по стандартам Ворлдскиллс, 978 человек - итоговую аттестацию. С целью овладения методикой осуществления оценки выполнения заданий демонстрационного экзамена обучено 212 экспертов. С 2016 года 89 мастеров производственного обучения профессиональных образовательных организаций прошли обучение по программам Ворлдскиллс Россия.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Несмотря на накопленный кадровый и ресурсный потенциал, база подготовки кадров по указанным профессии и специальности требует обновления, в том числе в северных территориях, чтобы обеспечить освоение обучающимися новых технологий, применяемых на производстве, а также прохождение процедур оценки результатов обучения как промежуточных, так итоговых в формате демонстрационного экзамена с учетом ежегодного прироста количества выпускников программ обучения.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Исходя из вышеуказанного, Концепцией предусмотрено создание 3 мастерских по компетенции "Поварское дело", 3 мастерских по компетенции "Кондитерское дело", 1 мастерской по компетенции "Хлебопечение".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2. Строительство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Как отмечено в проекте Стратегии социально-экономического развития Иркутской области, жилищное строительство, обеспечение жильем граждан, его доступность, повышение уровня благоустройства муниципальных образований Иркутской области, создание комфортных условий для проживания граждан из года в год являются одними из ключевых направлений экономики региона.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За последние пять лет в области введено беспрецедентное количество социальных объектов, вырос объем расходов консолидированного бюджета на строительство капитальных объектов, развитие социальной, инженерной и транспортной инфраструктуры.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Иркутская область по объему работ, выполненных по виду деятельности "Строительство" в 2019 году, среди субъектов Российской Федерации занимает 14 место, среди субъектов Сибирского федерального округа - 1 место.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Развитие строительства на территории Иркутской области жилья застройщиками осуществляется путем реализации проектов развития застроенных территорий, предусматривающих многоквартирную жилую застройку в городах, и реализации проектов комплексного освоения территорий, предусматривающих индивидуальное жилищное строительство в сельских поселениях. Большой объем инвестиций в области направляется на обеспечение инженерной и социальной инфраструктурой, в строительство и реконструкцию автомобильных дорог.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>Темпы развития строительной отрасли обуславливают потребность регионального рынка труда в квалифицированных кадрах: по состоянию на 2020 год она составляет 13,4 тысячи человек. Наибольшая доля заявленной потребности в кадрах приходится на города Иркутск, Ангарск, Тулун, Братск.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Поэтому программы подготовки квалифицированных рабочих и служащих, специалистов среднего звена, относящиеся к укрупненным группам профессий и специальностей 08.00.00 Техника и технология строительства и 23.00.00 Техника и технологии наземного транспорта включены в перечень наиболее востребованных и перспективных профессий и специальностей в Иркутской области, в перечень приоритетных профессий ПО и ДПО.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2020 году в соответствии с протоколом совещания Губернатора Иркутской области с представителями Союза строителей Иркутской области от 29 сентября 2020 года подготовлен и утвержден план мероприятий ("дорожная карта") развития кадрового потенциала строительной отрасли Иркутской области на 2021 - 2026 годы (приложение 5).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Участниками реализации "дорожной карты" являются: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совет по развитию профессиональных квалификаций и внедрению регионального стандарта кадрового обеспечения промышленного роста при Губернаторе Иркутской области - координационный орган по профессиональным квалификациям;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органы исполнительной власти Иркутской области - министерство строительства, дорожного хозяйства Иркутской области; министерство труда и занятости Иркутской области; министерство образования Иркутской области;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Союз строителей Иркутской области;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бизнес-предприятия и организации строительной отрасли;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образования; выпускники образовательных организаций.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Мероприятия, обозначенные в "дорожной карте", направлены на укрепление связи рынка труда и системы подготовки кадров за счет включенности работодателей в деятельность образовательных организаций и в управление качеством образования; согласование спроса на квалифицированные кадры со стороны регионального рынка труда и предложения со стороны образовательных организаций; формирование необходимой инфраструктуры для обеспечения доступности независимой оценки и подтверждения квалификации для работников, молодежи, вступающей на рынок труда.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региональной системе среднего профессионального образования инфраструктура подготовки кадров для отраслей строительство и дорожная строительство представлена наличием: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образовательных организаций: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3"/>
        <w:gridCol w:w="1489"/>
        <w:gridCol w:w="2134"/>
        <w:gridCol w:w="1489"/>
      </w:tblGrid>
      <w:tr w:rsidR="00E92A7F">
        <w:tc>
          <w:tcPr>
            <w:tcW w:w="3943" w:type="dxa"/>
          </w:tcPr>
          <w:p w:rsidR="00E92A7F" w:rsidRDefault="00E92A7F">
            <w:pPr>
              <w:pStyle w:val="ConsPlusNormal"/>
              <w:jc w:val="center"/>
            </w:pPr>
            <w:r>
              <w:t>Укрупненная группа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СПО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профессионального обучения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ДПО и ПО</w:t>
            </w:r>
          </w:p>
        </w:tc>
      </w:tr>
      <w:tr w:rsidR="00E92A7F">
        <w:tc>
          <w:tcPr>
            <w:tcW w:w="3943" w:type="dxa"/>
          </w:tcPr>
          <w:p w:rsidR="00E92A7F" w:rsidRDefault="00E92A7F">
            <w:pPr>
              <w:pStyle w:val="ConsPlusNormal"/>
              <w:jc w:val="center"/>
            </w:pPr>
            <w:r>
              <w:lastRenderedPageBreak/>
              <w:t>08.00.00 Техника и технология строительства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</w:tr>
      <w:tr w:rsidR="00E92A7F">
        <w:tc>
          <w:tcPr>
            <w:tcW w:w="3943" w:type="dxa"/>
          </w:tcPr>
          <w:p w:rsidR="00E92A7F" w:rsidRDefault="00E92A7F">
            <w:pPr>
              <w:pStyle w:val="ConsPlusNormal"/>
              <w:jc w:val="center"/>
            </w:pPr>
            <w:r>
              <w:t>23.00.00 Техника и технологии наземного транспорта (в части профессий дорожного строительства)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4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ресурсного центра (создан в 2012 году на базе Ангарского техникума строительных технологий);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многофункционального центра прикладных квалификаций (создан в 2013 году на базе Иркутского техникума архитектуры и строительства);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шести специализированных центров компетенций (СЦК): "Электромонтаж", "Сухое строительство и штукатурные работы", "Облицовка плиткой", "Сантехника и отопление", "Кирпичная кладка", "Малярные и декоративные работы";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пяти мастерских, оснащенных по стандартам Ворлдскиллс, по приоритетной группе компетенций "Строительство" (созданы в 2019 году в рамках реализации регионального проекта "Молодые профессионалы (Повышение конкурентоспособности профессионального образования)" национального проекта "Образование");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четырех аккредитованных Центров проведения демонстрационного экзамена по направлению "Строительство", в которых в 2021 году 52 обучающихся профессиональных образовательных организаций проходят промежуточную аттестацию с использованием механизма демонстрационного экзамена по стандартам Ворлдскиллс, 278 человек - итоговую аттестацию;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экспертного педагогического потенциала (прошли обучение 212 экспертов проведения демонстрационного экзамена, 85 мастеров производственного обучения прошли подготовку по программам Академии Ворлдскиллс Россия);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партнерства образовательных организаций с крупными строительными компаниями, обеспечивающими трудоустройство выпускников профессиональных образовательных организаций в сфере строительства (ООО "</w:t>
      </w:r>
      <w:proofErr w:type="spellStart"/>
      <w:r>
        <w:t>Транснефть</w:t>
      </w:r>
      <w:proofErr w:type="spellEnd"/>
      <w:r>
        <w:t>-Восток", АО "Братская электросетевая компания" филиала АО "Группа "Илим" в г. Братске, ООО "</w:t>
      </w:r>
      <w:proofErr w:type="spellStart"/>
      <w:r>
        <w:t>СтройПроектСервис</w:t>
      </w:r>
      <w:proofErr w:type="spellEnd"/>
      <w:r>
        <w:t>", ООО Компания "ВОСТОКСИБЛЕС", группа компаний "САВА", АО "</w:t>
      </w:r>
      <w:proofErr w:type="spellStart"/>
      <w:r>
        <w:t>Иркутскэнергоремонт</w:t>
      </w:r>
      <w:proofErr w:type="spellEnd"/>
      <w:r>
        <w:t>", Братский филиал ОАО "Дорожная служба Иркутской области", ОАО "</w:t>
      </w:r>
      <w:proofErr w:type="spellStart"/>
      <w:r>
        <w:t>Братскдорстрой</w:t>
      </w:r>
      <w:proofErr w:type="spellEnd"/>
      <w:r>
        <w:t>", ООО "</w:t>
      </w:r>
      <w:proofErr w:type="spellStart"/>
      <w:r>
        <w:t>СпецАвтоМаш</w:t>
      </w:r>
      <w:proofErr w:type="spellEnd"/>
      <w:r>
        <w:t>", ООО "</w:t>
      </w:r>
      <w:proofErr w:type="spellStart"/>
      <w:r>
        <w:t>ГидроЭнергоСервис</w:t>
      </w:r>
      <w:proofErr w:type="spellEnd"/>
      <w:r>
        <w:t>-ремонт" и другие).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Востребованность подготовки квалифицированных рабочих и служащих, специалистов среднего звена по профессиям и специальностям, относящимся к отраслям строительство и дорожное строительство, подтверждается данными о трудоустройстве выпускников. За последние 3 года отмечается повышение показателей трудоустройства выпускников по полученной профессии (специальности): от 63% в 2018 году до 69% в 2020 году. Средняя оценка уровня профессиональной подготовки выпускников работодателями по 10-балльной шкале составляет 8,9 балла.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Перспектива трудоустройства в стабильную компанию с устойчивым объемом производства повышает популярность профессий и специальностей у абитуриентов: средний показатель составляет 1,9 человека на место; средний балл аттестата абитуриентов в 2020 году был равен 4,15 балла.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Развитие направлений подготовки кадров для строительной и дорожно-строительной отраслей обосновывает потребность в создании (оснащении) мастерских по двум направлениям: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>- для укрупненной группы 08.00.00 Техника и технология строительства, как необходимость обновления оборудования созданных инфраструктурных единиц (ресурсного центра, СЦК) для обеспечения совершенствования профессиональной подготовки специалистов в соответствии с потребностями работодателей и развитием строительных технологий. Планируется создать 12 мастерских по 8 компетенциям: "</w:t>
      </w:r>
      <w:proofErr w:type="spellStart"/>
      <w:r>
        <w:t>Геопространственные</w:t>
      </w:r>
      <w:proofErr w:type="spellEnd"/>
      <w:r>
        <w:t xml:space="preserve"> технологии", "Сухое строительство и штукатурные работы", "Бетонные строительные работы", "Электромонтаж" (3 мастерские), "Кирпичная кладка" (2 мастерские), "Малярные и декоративные работы" (2 мастерские), "Облицовка плиткой", "Технология информационного моделирования BIM";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для укрупненной группы 23.00.00 Техника и технологии наземного транспорта в целях создания площадок проведения демонстрационного экзамена, чемпионатов профессионального мастерства, стажировок преподавателей и мастеров производственного обучения, освоения обучающимися передовых технологий. Планируется создать 5 мастерских по 4 компетенциям: "Обслуживание тяжелой техники", "Управление экскаватором" (2 мастерские), "Управление автогрейдером", "Управление фронтальным погрузчиком".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3. Информационные</w:t>
      </w:r>
    </w:p>
    <w:p w:rsidR="00E92A7F" w:rsidRDefault="00E92A7F">
      <w:pPr>
        <w:pStyle w:val="ConsPlusTitle"/>
        <w:jc w:val="center"/>
      </w:pPr>
      <w:r>
        <w:t>и коммуникационные технологии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Информационные и коммуникационные технологии оказывают существенное влияние на развитие традиционных отраслей экономики. Благодаря интернету развивается малый бизнес, электронная коммерция, растет производительность труда и эффективность бизнес-процессов предприятий, решаются вопросы </w:t>
      </w:r>
      <w:proofErr w:type="spellStart"/>
      <w:r>
        <w:t>энергоэффективности</w:t>
      </w:r>
      <w:proofErr w:type="spellEnd"/>
      <w:r>
        <w:t xml:space="preserve"> и безопасности, медицины и образования.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связи, обновлением технической базы, расширением спектра предоставляемых услуг, повышением их качества.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Как указано в проекте Стратегии социально-экономического развития Иркутской области, промышленные предприятия, расположенные в регионе, имеют большие потребности в </w:t>
      </w:r>
      <w:proofErr w:type="spellStart"/>
      <w:r>
        <w:t>цифровизации</w:t>
      </w:r>
      <w:proofErr w:type="spellEnd"/>
      <w:r>
        <w:t>, т.е. во внедрении цифровых систем, интеграции датчиков в компоненты оборудования, замене физических или аналоговых ресурсов цифровыми данными, также в переходе на цифровой способ связи, записи и передачи данных с помощью цифровых устройств.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Связанная с территориальной особенностью Иркутской области проблема неравномерности распространения и высокой дифференциации доступности для населения, в особенности проживающего в сельской местности, средств связи, точек доступа к Интернету и обеспечения услугами с использованием телекоммуникационной инфраструктуры требует развитие сетей связи нового поколения, мобильного широкополосного доступа к сети "Интернет", услуг высокоскоростной передачи данных.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Таким образом, ключевыми факторами цифровой трансформации региона являются: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разработка цифровых платформ;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формирование экосистем цифровой экономики;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развитие инфокоммуникационной инфраструктуры;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применение облачных технологий;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применение технологий обработки больших данных.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Учитывая перспективы развития информационно-коммуникационных технологий в регионе, профессии и специальности, относящиеся к укрупненной группе 09.00.00 Информатика и </w:t>
      </w:r>
      <w:r>
        <w:lastRenderedPageBreak/>
        <w:t>вычислительная техника и 11.00.00 Электроника, радиотехника и системы связи включены в перечень наиболее востребованных и перспективных профессий и специальностей в Иркутской области, а соответствующие им компетенции - в перечень приоритетных для Иркутской области групп компетенций и перечень компетенций для оснащения государственных профессиональных образовательных организаций Иркутской области, реализующих образовательные программы среднего профессионального образования, современной материально-технической базой.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Прогноз кадровых потребностей экономики Иркутской области указывает на потребность специалистов со средним профессиональным образованием на уровне 65% и предполагает, что значительную долю будут занимать специалисты в сфере информационных и цифровых технологий, в том числе специалисты, обладающие компетенциями по эксплуатации и ремонту различного электронного оборудования.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По состоянию на 1 января 2021 года подготовка кадров для IT-отрасли и связи осуществляется в следующем количестве организаций: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1489"/>
        <w:gridCol w:w="2134"/>
        <w:gridCol w:w="1489"/>
      </w:tblGrid>
      <w:tr w:rsidR="00E92A7F">
        <w:tc>
          <w:tcPr>
            <w:tcW w:w="3651" w:type="dxa"/>
          </w:tcPr>
          <w:p w:rsidR="00E92A7F" w:rsidRDefault="00E92A7F">
            <w:pPr>
              <w:pStyle w:val="ConsPlusNormal"/>
              <w:jc w:val="center"/>
            </w:pPr>
            <w:r>
              <w:t>Укрупненная группа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СПО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профессионального обучения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ДПО и ПО</w:t>
            </w:r>
          </w:p>
        </w:tc>
      </w:tr>
      <w:tr w:rsidR="00E92A7F">
        <w:tc>
          <w:tcPr>
            <w:tcW w:w="3651" w:type="dxa"/>
          </w:tcPr>
          <w:p w:rsidR="00E92A7F" w:rsidRDefault="00E92A7F">
            <w:pPr>
              <w:pStyle w:val="ConsPlusNormal"/>
              <w:jc w:val="center"/>
            </w:pPr>
            <w:r>
              <w:t>09.00.00 Информатика и вычислительная техника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12</w:t>
            </w:r>
          </w:p>
        </w:tc>
      </w:tr>
      <w:tr w:rsidR="00E92A7F">
        <w:tc>
          <w:tcPr>
            <w:tcW w:w="3651" w:type="dxa"/>
          </w:tcPr>
          <w:p w:rsidR="00E92A7F" w:rsidRDefault="00E92A7F">
            <w:pPr>
              <w:pStyle w:val="ConsPlusNormal"/>
              <w:jc w:val="center"/>
            </w:pPr>
            <w:r>
              <w:t>11.00.00 Электроника, радиотехника и системы связи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Как видно из представленных данных, направления подготовки кадров по IT-технологиям и системам связи в настоящее время не играют ведущую роль среди других профессий и специальностей, что связано с невысокими темпами развития цифровых технологий в промышленности и экономики Иркутской области.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Вместе с тем востребованность у абитуриентов данных профессий и специальностей достаточно велика - в ходе приемной кампании 2020 года на одно бюджетное место обучения по программам, связанным с информационными технологиями, претендовало до 5 человек.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Выпускники учреждений среднего профессионального образования имеют широкий спектр возможностей для трудоустройства. Это не только компании, занимающиеся созданием программных продуктов, вследствие </w:t>
      </w:r>
      <w:proofErr w:type="spellStart"/>
      <w:r>
        <w:t>цифровизации</w:t>
      </w:r>
      <w:proofErr w:type="spellEnd"/>
      <w:r>
        <w:t xml:space="preserve"> различных отраслей экономики и социальной сферы - это органы государственного управления (налоговая служба, управление социальной защиты населения, ГУФСИН России по Иркутской области), крупные торговые, медицинские и образовательные организации, промышленные предприятия.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целях предоставления выпускникам наиболее широкого спектра возможностей для трудоустройства Иркутская область участвует в пилотном проекте по созданию устойчивой системы подготовки кадров для выхода в экономическую деятельность в качестве </w:t>
      </w:r>
      <w:proofErr w:type="spellStart"/>
      <w:r>
        <w:t>самозанятых</w:t>
      </w:r>
      <w:proofErr w:type="spellEnd"/>
      <w:r>
        <w:t xml:space="preserve"> граждан (соглашение о взаимодействии между АНО "Агентство развития профессионального мастерства (Ворлдскиллс Россия)" и министерством образования Иркутской области от 28 мая 2021 года N 28.05.2021-38). Трое выпускников специальности Информационные системы и программирование планируют после окончания учебного заведения трудоустроиться как </w:t>
      </w:r>
      <w:proofErr w:type="spellStart"/>
      <w:r>
        <w:t>самозанятые</w:t>
      </w:r>
      <w:proofErr w:type="spellEnd"/>
      <w:r>
        <w:t>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>Для развития в регионе подготовки кадров по направлению "Информационные и коммуникационные технологии" оснащены современным оборудованием: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5 мастерских (на базе Черемховского горнотехнического колледжа им. </w:t>
      </w:r>
      <w:proofErr w:type="spellStart"/>
      <w:r>
        <w:t>М.И.Щадова</w:t>
      </w:r>
      <w:proofErr w:type="spellEnd"/>
      <w:r>
        <w:t xml:space="preserve"> в рамках реализации в 2019 году регионального проекта "Молодые профессионалы" (Повышение конкурентоспособности профессионального образования)" национального проекта "Образование");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3 специализированных центра компетенций (по компетенциям "Программные решения для бизнеса", "Интернет-маркетинг" и "Веб-дизайн и разработка");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3 Центра проведения демонстрационного экзамена, еще 1 планируется аккредитовать до конца текущего года.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59 обучающихся профессиональных образовательных организаций пройдут промежуточную аттестацию с использованием механизма демонстрационного экзамена по стандартам Ворлдскиллс, 100 человек - итоговую аттестацию. В Академии Ворлдскиллс Россия прошли обучение 89 экспертов демонстрационного экзамена, 13 мастеров производственного обучения и преподавателей профессиональных образовательных организаций.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Профессиональные образовательные организации Иркутской области с 2019 года являются участниками инновационного проекта "Цифровая дидактика профессионального образования" Федерального института развития образования РАНХИГС при Президенте Российской Федерации (далее - ФИРО РАНХИГС). На базе ГБПОУ ИО "Ангарский промышленно-экономический техникум" организована федеральная экспериментальная площадка "Организация командного взаимодействия участников образовательного процесса СПО в условиях его </w:t>
      </w:r>
      <w:proofErr w:type="spellStart"/>
      <w:r>
        <w:t>цифровизации</w:t>
      </w:r>
      <w:proofErr w:type="spellEnd"/>
      <w:r>
        <w:t>" (приказ ФИРО РАНХИГС от 19 июля 2019 года N 21-7).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ГБПОУ ИО "Иркутский гидрометеорологический техникум" в 2020 году заключил соглашение с Ассоциацией образовательных организаций, научных работников и педагогов профессионального образования "Академия профессионального образования" об участии в экспериментальной работе. Техникуму присвоен статус экспериментальной площадки по теме "Разработка электронного учебно-методического обеспечения для дисциплин профессионального цикла "Электротехника, электроника" для использования при организации функционирования образовательного учреждения в режиме "цифрового техникума".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Исходя из перспективы развития IT-отрасли и, как следствие, увеличения потребности в кадрах в Концепцию включено данное направление, в рамках которого планируется создание 7 мастерских по следующим компетенциям: "Магистральные линии связи. Строительство и эксплуатация ВОЛП", "Разработка мобильных приложений", "Облачные технологии", "Разработка виртуальной и дополненной реальности", "Машинное обучение и большие данные"; "Веб-дизайн и разработка", "Электроника".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4. Обслуживание транспорта</w:t>
      </w:r>
    </w:p>
    <w:p w:rsidR="00E92A7F" w:rsidRDefault="00E92A7F">
      <w:pPr>
        <w:pStyle w:val="ConsPlusTitle"/>
        <w:jc w:val="center"/>
      </w:pPr>
      <w:r>
        <w:t>и логистика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Востребованность специалистов, выпускников учреждений среднего профессионального образования в сфере транспорта и логистики определяется географическим и стратегическим расположением региона. По территории Иркутской области проходят стратегически важные железнодорожные, автомобильные, речные магистрали и авиационные магистрали государственного и межгосударственного значения, соединяющие страны Западной, Центральной и Восточной Европы, а также западные районы России с Якутией, Забайкальем, Дальним Востоком, странами Азиатско-Тихоокеанского региона и Монголией.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настоящее время на территории области реализуется национальный проект "Безопасные и </w:t>
      </w:r>
      <w:r>
        <w:lastRenderedPageBreak/>
        <w:t>качественные дороги" до 2024 г., строится новый участок федеральной автодороги Р-255 в обход города Усолье-Сибирское протяженностью 42 километра.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С учетом реализации крупных инвестиционных проектов, предполагающих создание новых рабочих мест, на период 2017 - 2021 годы (утвержден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заместителя Председателя Правительства Иркутской области от 25 января 2017 г. N 3-рзп) потребность в специалистах со средним профессиональным образованием укрупненной группы профессий и специальностей "Техника и технологии наземного транспорта" составляет 2083 человека.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2019 году доля транспортно-логистического комплекса в валовом региональном продукте составила 11,2%, к 2030 году она увеличится до 17,2%. Такой рост приведет к появлению около 1,5 тыс. новых рабочих мест в сфере транспорта и логистики.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Выпускники профессиональных образовательных организаций, получившие подготовку по программам СПО, относящиеся к укрупненной группе профессий и специальностей 23.00.00 Техника и технологии наземного транспорта, 26.00.00 Техника и технологии кораблестроения и водного транспорта, являются востребованными в экономике, что подтверждается включенностью данных программ подготовки специалистов среднего профессионального образования в перечень наиболее востребованных и перспективных профессий и специальностей в Иркутской области; перечень профессий ПО и ДПО.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соответствии с основными положениями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развития железнодорожного транспорта в Российской Федерации до 2030 года (распоряжение Правительства Российской Федерации от 17 июня 2008 г. N 877-р) в регионе отмечается высокая потребность в кадрах со средним профессиональным образованием для работы на объектах ОАО "Российские железные дороги".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Согласно проекту Стратегии социально-экономического развития Иркутской области предполагается значительное обновление железнодорожной сети региона, в ближайшие годы планируется проведение модернизации и расширение пропускной способности Транссибирской и Байкало-Амурской магистралей (ОАО "РЖД"), в 1,5 раза должны быть увеличены объемы перевозки грузов; ведется работа по увеличению пропускной способности Транссибирской магистрали на участке железной дороги Иркутск - </w:t>
      </w:r>
      <w:proofErr w:type="spellStart"/>
      <w:r>
        <w:t>Слюдянка</w:t>
      </w:r>
      <w:proofErr w:type="spellEnd"/>
      <w:r>
        <w:t>; ведется планомерная работа, направленная на сохранение и развитие пригородного железнодорожного транспорта, создание условий для устойчивого развития этого сегмента отрасли железнодорожного транспорта.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Для северных территорий Иркутской области актуальным является использование речного транспорта, что вызвано труднодоступностью территорий, высокой стоимостью перевозки грузов автомобильным и авиатранспортом.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развития внутреннего водного транспорта Российской Федерации на период до 2030 года (распоряжение Правительства РФ от 29 февраля 2016 г. N 327-р) к основным проблемам кадрового обеспечения внутреннего водного транспорта относятся: дефицит работников определенных специальностей и рабочих профессий, относительно высокая текучесть кадров, низкая социальная защищенность работников в части предоставления ведомственного жилья и уровня заработной платы, старение и выбытие по возрасту опытных работников отраслевых организаций, отставание материальной базы (учебно-лабораторной, тренажерной) отраслевых образовательных учреждений от международных требований.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Выпускники по профессиям и специальностям, относящимся к укрупненной группе профессий и специальностей 23.00.00 Техника и технологии наземного транспорта, 26.00.00 Техника и технологии кораблестроения и водного транспорта, востребованы на рынке труда региона, что подтверждается данными мониторинга трудоустройства выпускников (в течение последних трех лет количество трудоустроившихся по полученной профессии, специальности в сфере транспорта и логистики составляет в среднем 60%). По данным профессиональных </w:t>
      </w:r>
      <w:r>
        <w:lastRenderedPageBreak/>
        <w:t xml:space="preserve">образовательных организаций, </w:t>
      </w:r>
      <w:proofErr w:type="spellStart"/>
      <w:r>
        <w:t>закрепляемость</w:t>
      </w:r>
      <w:proofErr w:type="spellEnd"/>
      <w:r>
        <w:t xml:space="preserve"> в профессии достаточно высока: от 51% до 84% специалистов, выпускников профессиональных образовательных организаций продолжают работать по полученной профессии (специальности) в соответствии с полученной квалификацией.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Деятельность профессиональных образовательных организаций, ведущих подготовку кадров в сфере транспорта и логистики, по </w:t>
      </w:r>
      <w:proofErr w:type="spellStart"/>
      <w:r>
        <w:t>профориентационной</w:t>
      </w:r>
      <w:proofErr w:type="spellEnd"/>
      <w:r>
        <w:t xml:space="preserve"> работе находит свое отражение в следующих показателях: в течение последних лет увеличивается конкурс среди поступающих в ПОО: в 2019 году 1,5 человека на место со средним баллом аттестата абитуриентов 3,98.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Инфраструктура профессиональных образовательных организаций, ведущих подготовку кадров по направлению Обслуживание транспорта и логистика: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89"/>
        <w:gridCol w:w="2134"/>
        <w:gridCol w:w="1489"/>
      </w:tblGrid>
      <w:tr w:rsidR="00E92A7F">
        <w:tc>
          <w:tcPr>
            <w:tcW w:w="3855" w:type="dxa"/>
          </w:tcPr>
          <w:p w:rsidR="00E92A7F" w:rsidRDefault="00E92A7F">
            <w:pPr>
              <w:pStyle w:val="ConsPlusNormal"/>
              <w:jc w:val="center"/>
            </w:pPr>
            <w:r>
              <w:t>Укрупненная группа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СПО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профессионального обучения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ДПО и ПО</w:t>
            </w:r>
          </w:p>
        </w:tc>
      </w:tr>
      <w:tr w:rsidR="00E92A7F">
        <w:tc>
          <w:tcPr>
            <w:tcW w:w="3855" w:type="dxa"/>
          </w:tcPr>
          <w:p w:rsidR="00E92A7F" w:rsidRDefault="00E92A7F">
            <w:pPr>
              <w:pStyle w:val="ConsPlusNormal"/>
              <w:jc w:val="center"/>
            </w:pPr>
            <w:r>
              <w:t>23.00.00 Техника и технологии наземного транспорта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12</w:t>
            </w:r>
          </w:p>
        </w:tc>
      </w:tr>
      <w:tr w:rsidR="00E92A7F">
        <w:tc>
          <w:tcPr>
            <w:tcW w:w="3855" w:type="dxa"/>
          </w:tcPr>
          <w:p w:rsidR="00E92A7F" w:rsidRDefault="00E92A7F">
            <w:pPr>
              <w:pStyle w:val="ConsPlusNormal"/>
              <w:jc w:val="center"/>
            </w:pPr>
            <w:r>
              <w:t>26.00.00 Техника и технологии кораблестроения и водного транспорта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E92A7F" w:rsidRDefault="00E92A7F">
            <w:pPr>
              <w:pStyle w:val="ConsPlusNormal"/>
              <w:jc w:val="center"/>
            </w:pPr>
            <w:r>
              <w:t>2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В Иркутской области аккредитовано 2 Центра проведения демонстрационного экзамена, 42 обучающихся профессиональных образовательных организаций проходят промежуточную аттестацию с использованием механизма демонстрационного экзамена по стандартам Ворлдскиллс, 102 обучающихся - итоговую аттестацию. С целью овладения методикой осуществления оценки выполнения заданий демонстрационного экзамена обучено 112 экспертов. С 2016 года 26 мастеров производственного обучения профессиональных образовательных организаций прошли обучение по программам Ворлдскиллс Россия.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рамках реализации Концепции планируется создание 11 мастерских по компетенциям для автотранспортной отрасли: "Кузовной ремонт", "Обслуживание грузовой техники" (2 мастерские), "Экспедирование грузов", "Ремонт и обслуживание легковых автомобилей", для железнодорожной отрасли: "Управление локомотивом" (2 мастерские), "Управление перевозочным процессом на железнодорожном транспорте" (2 мастерские), для речного транспорта: "Безопасность жизнедеятельности на судне", "Эксплуатация грузового речного транспорта" на базах профессиональных образовательных организаций в городах Ангарск, Нижнеудинск, Зима, Киренск, Братск.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5. Промышленные и инженерные</w:t>
      </w:r>
    </w:p>
    <w:p w:rsidR="00E92A7F" w:rsidRDefault="00E92A7F">
      <w:pPr>
        <w:pStyle w:val="ConsPlusTitle"/>
        <w:jc w:val="center"/>
      </w:pPr>
      <w:r>
        <w:t>технологии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В государственной </w:t>
      </w:r>
      <w:hyperlink r:id="rId22" w:history="1">
        <w:r>
          <w:rPr>
            <w:color w:val="0000FF"/>
          </w:rPr>
          <w:t>программе</w:t>
        </w:r>
      </w:hyperlink>
      <w:r>
        <w:t xml:space="preserve"> Иркутской области "Экономическое развитие и инновационная экономика" на 2019 - 2024 годы (утверждена постановлением Правительства Иркутской области от 12 ноября 2018 года N 828-пп) отмечено, что в последние годы экономика Иркутской области встала на курс оживления. Промышленное производство растет. С учетом специфики экономики региона определяющую роль в структуре промышленности занимает добывающий сектор. На территории региона созданы максимально благоприятные условия для развития нефтегазохимии. Развитию отрасли способствовало освоение нефтегазовых месторождений и добыча жидких углеводородных ресурсов. Также положительная динамика </w:t>
      </w:r>
      <w:r>
        <w:lastRenderedPageBreak/>
        <w:t>наблюдается в обрабатывающем производстве, в том числе в деятельности по обработке древесины, по производству лекарственных средств и материалов, применяемых в медицинских целях, машин и оборудования, не включенных в другие группировки, химических веществ, напитков, автотранспортных средств, прицепов и полуприцепов, бумаги.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Исходя из прогноза кадровой потребности, в настоящее время остается высокой востребованность специалистов по таким профессиям, как слесарь (слесарь-ремонтник технологических установок, слесарь по контрольно-измерительным приборам и автоматике, электрослесарь, слесарь-сантехник и др.) - 9,9 тыс. человек, электромонтер (по ремонту и обслуживанию электрооборудования, по эксплуатации распределительных сетей, по ремонту воздушных линий электропередачи, по эксплуатации электросчетчиков, по обслуживанию подстанции, оперативно-выездной бригады и др.) - 4,9 тыс. человек, сварщик (</w:t>
      </w:r>
      <w:proofErr w:type="spellStart"/>
      <w:r>
        <w:t>электрогазосварщик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ручной сварки и на автоматических и полуавтоматических машинах, электросварщик, газосварщик и др.) - 3,5 тыс. человек, токарь (токарь-расточник, токарь-карусельщик, токарь крупных станков, средних станков, токарь-универсал по металлу) - 2,1 тыс. человек и другие профессии реального сектора экономики. В последние годы обозначилась потребность в кадрах для нефтедобывающей и </w:t>
      </w:r>
      <w:proofErr w:type="spellStart"/>
      <w:r>
        <w:t>газохимической</w:t>
      </w:r>
      <w:proofErr w:type="spellEnd"/>
      <w:r>
        <w:t xml:space="preserve"> отраслей.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Профессии и специальности, обеспечивающие сферу промышленности (15.02.01 Монтаж и техническая эксплуатация промышленного оборудования (по отраслям), 18.02.09 Переработка нефти и газа, 13.01.10 Электромонтер по ремонту и обслуживанию электрооборудования (по отраслям), 15.01.05 Сварщик (электросварочные и газосварочные работы), 15.01.26 Токарь-универсал, 18.01.28 Оператор нефтепереработки), включены в перечень наиболее востребованных и перспективных профессий и специальностей в Иркутской области, в список 50 наиболее востребованных на рынке труда, новых и перспективных профессий.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Региональная система профессионального образования "откликается" на данные востребованные направления подготовки кадров - по ним наблюдается устойчивый рост контингента: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55"/>
        <w:gridCol w:w="1655"/>
        <w:gridCol w:w="1657"/>
      </w:tblGrid>
      <w:tr w:rsidR="00E92A7F">
        <w:tc>
          <w:tcPr>
            <w:tcW w:w="4025" w:type="dxa"/>
            <w:vMerge w:val="restart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Отрасли</w:t>
            </w:r>
          </w:p>
        </w:tc>
        <w:tc>
          <w:tcPr>
            <w:tcW w:w="4967" w:type="dxa"/>
            <w:gridSpan w:val="3"/>
          </w:tcPr>
          <w:p w:rsidR="00E92A7F" w:rsidRDefault="00E92A7F">
            <w:pPr>
              <w:pStyle w:val="ConsPlusNormal"/>
              <w:jc w:val="center"/>
            </w:pPr>
            <w:r>
              <w:t>Контингент обучающихся за счет бюджета Иркутской области по ОПОП СПО</w:t>
            </w:r>
          </w:p>
        </w:tc>
      </w:tr>
      <w:tr w:rsidR="00E92A7F">
        <w:tc>
          <w:tcPr>
            <w:tcW w:w="4025" w:type="dxa"/>
            <w:vMerge/>
          </w:tcPr>
          <w:p w:rsidR="00E92A7F" w:rsidRDefault="00E92A7F"/>
        </w:tc>
        <w:tc>
          <w:tcPr>
            <w:tcW w:w="1655" w:type="dxa"/>
          </w:tcPr>
          <w:p w:rsidR="00E92A7F" w:rsidRDefault="00E92A7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55" w:type="dxa"/>
          </w:tcPr>
          <w:p w:rsidR="00E92A7F" w:rsidRDefault="00E92A7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57" w:type="dxa"/>
          </w:tcPr>
          <w:p w:rsidR="00E92A7F" w:rsidRDefault="00E92A7F">
            <w:pPr>
              <w:pStyle w:val="ConsPlusNormal"/>
              <w:jc w:val="center"/>
            </w:pPr>
            <w:r>
              <w:t>2020 год</w:t>
            </w:r>
          </w:p>
        </w:tc>
      </w:tr>
      <w:tr w:rsidR="00E92A7F">
        <w:tc>
          <w:tcPr>
            <w:tcW w:w="4025" w:type="dxa"/>
            <w:vAlign w:val="bottom"/>
          </w:tcPr>
          <w:p w:rsidR="00E92A7F" w:rsidRDefault="00E92A7F">
            <w:pPr>
              <w:pStyle w:val="ConsPlusNormal"/>
              <w:jc w:val="both"/>
            </w:pPr>
            <w:r>
              <w:t>Геология и горное дело, в том числе нефтедобыча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657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816</w:t>
            </w:r>
          </w:p>
        </w:tc>
      </w:tr>
      <w:tr w:rsidR="00E92A7F">
        <w:tc>
          <w:tcPr>
            <w:tcW w:w="4025" w:type="dxa"/>
            <w:vAlign w:val="bottom"/>
          </w:tcPr>
          <w:p w:rsidR="00E92A7F" w:rsidRDefault="00E92A7F">
            <w:pPr>
              <w:pStyle w:val="ConsPlusNormal"/>
              <w:jc w:val="both"/>
            </w:pPr>
            <w:r>
              <w:t>Нефтепереработка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57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459</w:t>
            </w:r>
          </w:p>
        </w:tc>
      </w:tr>
      <w:tr w:rsidR="00E92A7F">
        <w:tc>
          <w:tcPr>
            <w:tcW w:w="4025" w:type="dxa"/>
            <w:vAlign w:val="bottom"/>
          </w:tcPr>
          <w:p w:rsidR="00E92A7F" w:rsidRDefault="00E92A7F">
            <w:pPr>
              <w:pStyle w:val="ConsPlusNormal"/>
              <w:jc w:val="both"/>
            </w:pPr>
            <w:r>
              <w:t>Химическая промышленность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57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157</w:t>
            </w:r>
          </w:p>
        </w:tc>
      </w:tr>
      <w:tr w:rsidR="00E92A7F">
        <w:tc>
          <w:tcPr>
            <w:tcW w:w="4025" w:type="dxa"/>
            <w:vAlign w:val="bottom"/>
          </w:tcPr>
          <w:p w:rsidR="00E92A7F" w:rsidRDefault="00E92A7F">
            <w:pPr>
              <w:pStyle w:val="ConsPlusNormal"/>
              <w:jc w:val="both"/>
            </w:pPr>
            <w:r>
              <w:t>Машиностроение и металлургия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655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657" w:type="dxa"/>
            <w:vAlign w:val="center"/>
          </w:tcPr>
          <w:p w:rsidR="00E92A7F" w:rsidRDefault="00E92A7F">
            <w:pPr>
              <w:pStyle w:val="ConsPlusNormal"/>
              <w:jc w:val="center"/>
            </w:pPr>
            <w:r>
              <w:t>3452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В общем объеме контрольных цифр приема граждан на обучение в 2021 году наблюдалось увеличение приема по следующим направлениям подготовки: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ХИМИЧЕСКИЕ ТЕХНОЛОГИИ - по специальности "Технология аналитического контроля качества химических соединений", по профессии "Лаборант-эколог" в связи с реализацией крупнейшего инвестиционного проекта в Иркутской области компанией "</w:t>
      </w:r>
      <w:proofErr w:type="spellStart"/>
      <w:r>
        <w:t>Фармасинтез</w:t>
      </w:r>
      <w:proofErr w:type="spellEnd"/>
      <w:r>
        <w:t>";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МАШИНОСТРОЕНИЕ - по специальности "Оператор станков с ЧПУ" была открыта подготовка кадров в связи с осуществлением Иркутским авиационным заводом - филиалом ПАО "Корпорация "Иркут" инвестиционной программы развития производственно-технической базы; по профессии "Мастер контрольно-измерительных приборов и автоматики" - в связи с реализацией ПАО </w:t>
      </w:r>
      <w:r>
        <w:lastRenderedPageBreak/>
        <w:t xml:space="preserve">"Газпром" инвестиционного проекта "Обустройство </w:t>
      </w:r>
      <w:proofErr w:type="spellStart"/>
      <w:r>
        <w:t>Ковыктинского</w:t>
      </w:r>
      <w:proofErr w:type="spellEnd"/>
      <w:r>
        <w:t xml:space="preserve"> газоконденсатного месторождения", в связи с реализацией инвестиционного проекта АО Группа "Илим" в городе Усть-Илимск;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ПРИКЛАДНАЯ ГЕОЛОГИЯ, ГОРНОЕ ДЕЛО, НЕФТЕГАЗОВОЕ ДЕЛО И ГЕОДЕЗИЯ - по специальности "Разработка и эксплуатация нефтяных и газовых месторождений" в связи с осуществлением работ на крупнейшем нефтегазоконденсатном месторождении в Восточной Сибири компанией АО "</w:t>
      </w:r>
      <w:proofErr w:type="spellStart"/>
      <w:r>
        <w:t>Верхнечонскнефтегаз</w:t>
      </w:r>
      <w:proofErr w:type="spellEnd"/>
      <w:r>
        <w:t>";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МЕТАЛЛУРГИЯ - в рамках реализации инвестиционного проекта "Строительство </w:t>
      </w:r>
      <w:proofErr w:type="spellStart"/>
      <w:r>
        <w:t>Тайшетского</w:t>
      </w:r>
      <w:proofErr w:type="spellEnd"/>
      <w:r>
        <w:t xml:space="preserve"> алюминиевого завода" получена лицензия и осуществлен прием по профессиям: "Аппаратчик-оператор в производстве цветных металлов", "Мастер слесарных работ", "Электромонтер по ремонту и обслуживанию электрооборудования".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Работа по удовлетворению потребности в кадрах в промышленном секторе экономики Иркутской области строится в основном посредством государственно-частного партнерства между всеми заинтересованными участниками: отраслевыми министерствами, представителями реального сектора экономики, образовательными организациями.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Так, разработаны и реализуются дорожные карты по обеспечению кадрами инвестиционных проектов: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с ООО "Газпром добыча Иркутск" (приложение 8) в рамках реализации инвестиционного проекта "Обустройство </w:t>
      </w:r>
      <w:proofErr w:type="spellStart"/>
      <w:r>
        <w:t>Ковыктинского</w:t>
      </w:r>
      <w:proofErr w:type="spellEnd"/>
      <w:r>
        <w:t xml:space="preserve"> газоконденсатного месторождения" (утверждена Первым заместителем Губернатора Иркутской области - председателем Правительства Иркутской области от 7 апреля 2019 г. N 06-09-326/21);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с АО Группа "Илим" (приложение 9) для реализации инвестиционного проекта в городе Усть-Илимске на 2021 - 2025 годы (утверждена Первым заместителем Губернатора Иркутской области - председателем Правительства Иркутской области от 7 апреля 2021 г. N 06-09-326/21);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с Группой компаний ИНК (ООО "Иркутская нефтяная компания") (приложение 10) для реализации инвестиционного проекта в городах Усть-Кут, Киренск и Иркутск на 2021 - 2023 годы (утверждена министром образования Иркутской области и исполняющим обязанности генерального директора Группы компаний ИНК ООО "Иркутская нефтяная компания" от 17 мая 2021 года).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Действенным механизмом "настройки" системы профессионального образования на требования работодателей является заключение прямых договоров профессиональных образовательных организаций с предприятиями - заказчиками кадров. Предприятия - партнеры организаций поддерживают учебные заведения и заинтересованы в развитии их материально-технической базы (приложения 11.1 - 11.59):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E92A7F">
        <w:tc>
          <w:tcPr>
            <w:tcW w:w="4520" w:type="dxa"/>
            <w:vAlign w:val="bottom"/>
          </w:tcPr>
          <w:p w:rsidR="00E92A7F" w:rsidRDefault="00E92A7F">
            <w:pPr>
              <w:pStyle w:val="ConsPlusNormal"/>
              <w:jc w:val="center"/>
            </w:pPr>
            <w:r>
              <w:t>ПОО</w:t>
            </w:r>
          </w:p>
        </w:tc>
        <w:tc>
          <w:tcPr>
            <w:tcW w:w="4521" w:type="dxa"/>
            <w:vAlign w:val="bottom"/>
          </w:tcPr>
          <w:p w:rsidR="00E92A7F" w:rsidRDefault="00E92A7F">
            <w:pPr>
              <w:pStyle w:val="ConsPlusNormal"/>
              <w:jc w:val="center"/>
            </w:pPr>
            <w:r>
              <w:t>Предприятия-партнеры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"Братский торгово-технологический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Акционерное общество "Падун-хлеб"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автономное профессиональное образовательное учреждение Иркутской области "Иркутский техникум индустрии питания"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Ассоциация "Байкальская виза"</w:t>
            </w:r>
          </w:p>
          <w:p w:rsidR="00E92A7F" w:rsidRDefault="00E92A7F">
            <w:pPr>
              <w:pStyle w:val="ConsPlusNormal"/>
            </w:pPr>
            <w:r>
              <w:t xml:space="preserve">Общество с ограниченной ответственностью "Альянс </w:t>
            </w:r>
            <w:proofErr w:type="spellStart"/>
            <w:r>
              <w:t>Ресторанс</w:t>
            </w:r>
            <w:proofErr w:type="spellEnd"/>
            <w:r>
              <w:t>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lastRenderedPageBreak/>
              <w:t>Государственное бюджетное профессиональное образовательное учреждение Иркутской области "Усть-Ордынский аграрный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ЛяФэмэли</w:t>
            </w:r>
            <w:proofErr w:type="spellEnd"/>
            <w:r>
              <w:t>", Потребительское общество "УРЯАЛ"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автономное профессиональное образовательное учреждение Иркутской области "Ангарский техникум строительных технологий"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Ассоциация регионального отраслевого объединения работодателей "Саморегулируемая организация строителей Байкальского региона",</w:t>
            </w:r>
          </w:p>
          <w:p w:rsidR="00E92A7F" w:rsidRDefault="00E92A7F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Стройкомплекс</w:t>
            </w:r>
            <w:proofErr w:type="spellEnd"/>
            <w:r>
              <w:t>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"Иркутский колледж автомобильного транспорта и дорожного строительства"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АО "</w:t>
            </w:r>
            <w:proofErr w:type="spellStart"/>
            <w:r>
              <w:t>Верхнечонскнефтегаз</w:t>
            </w:r>
            <w:proofErr w:type="spellEnd"/>
            <w:r>
              <w:t>",</w:t>
            </w:r>
          </w:p>
          <w:p w:rsidR="00E92A7F" w:rsidRDefault="00E92A7F">
            <w:pPr>
              <w:pStyle w:val="ConsPlusNormal"/>
            </w:pPr>
            <w:r>
              <w:t>МУП "</w:t>
            </w:r>
            <w:proofErr w:type="spellStart"/>
            <w:r>
              <w:t>Иркутскавтодор</w:t>
            </w:r>
            <w:proofErr w:type="spellEnd"/>
            <w:r>
              <w:t>",</w:t>
            </w:r>
          </w:p>
          <w:p w:rsidR="00E92A7F" w:rsidRDefault="00E92A7F">
            <w:pPr>
              <w:pStyle w:val="ConsPlusNormal"/>
            </w:pPr>
            <w:r>
              <w:t>МУП "БТИ г. Иркутска",</w:t>
            </w:r>
          </w:p>
          <w:p w:rsidR="00E92A7F" w:rsidRDefault="00E92A7F">
            <w:pPr>
              <w:pStyle w:val="ConsPlusNormal"/>
            </w:pPr>
            <w:r>
              <w:t>ООО "Дорожно-Строительная Техника-Иркутск"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"Братский промышленный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Транснефть</w:t>
            </w:r>
            <w:proofErr w:type="spellEnd"/>
            <w:r>
              <w:t>-Восток",</w:t>
            </w:r>
          </w:p>
          <w:p w:rsidR="00E92A7F" w:rsidRDefault="00E92A7F">
            <w:pPr>
              <w:pStyle w:val="ConsPlusNormal"/>
            </w:pPr>
            <w:r>
              <w:t>Акционерное общество "Дорожная служба Иркутской области"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"Тулунский аграрный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Закрытое акционерное общество "Монолит",</w:t>
            </w:r>
          </w:p>
          <w:p w:rsidR="00E92A7F" w:rsidRDefault="00E92A7F">
            <w:pPr>
              <w:pStyle w:val="ConsPlusNormal"/>
            </w:pPr>
            <w:r>
              <w:t>Западные электрические сети ООО "Иркутская электросетевая компания",</w:t>
            </w:r>
          </w:p>
          <w:p w:rsidR="00E92A7F" w:rsidRDefault="00E92A7F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РосКапСтрой</w:t>
            </w:r>
            <w:proofErr w:type="spellEnd"/>
            <w:r>
              <w:t>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"Иркутский гидрометеорологический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"Ангарский промышленно-экономический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Союз "Ангарская торгово-промышленная палата",</w:t>
            </w:r>
          </w:p>
          <w:p w:rsidR="00E92A7F" w:rsidRDefault="00E92A7F">
            <w:pPr>
              <w:pStyle w:val="ConsPlusNormal"/>
            </w:pPr>
            <w:r>
              <w:t>Публичное акционерное общество "Ростелеком",</w:t>
            </w:r>
          </w:p>
          <w:p w:rsidR="00E92A7F" w:rsidRDefault="00E92A7F">
            <w:pPr>
              <w:pStyle w:val="ConsPlusNormal"/>
            </w:pPr>
            <w:r>
              <w:t>Общество с ограниченной ответственностью "Партнер"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"Нижнеудинский техникум железнодорожного транспорта"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proofErr w:type="spellStart"/>
            <w:r>
              <w:t>Вихоревский</w:t>
            </w:r>
            <w:proofErr w:type="spellEnd"/>
            <w:r>
              <w:t xml:space="preserve"> центр организации работы железнодорожных станций ОАО "РЖД",</w:t>
            </w:r>
          </w:p>
          <w:p w:rsidR="00E92A7F" w:rsidRDefault="00E92A7F">
            <w:pPr>
              <w:pStyle w:val="ConsPlusNormal"/>
            </w:pPr>
            <w:r>
              <w:t>Сервисное локомотивное депо "Нижнеудинское" филиала "Восточно-Сибирский" ООО "Локо-Тех-Сервис"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"Зиминский железнодорожный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Сервисное локомотивное депо "</w:t>
            </w:r>
            <w:proofErr w:type="spellStart"/>
            <w:r>
              <w:t>Зиминское</w:t>
            </w:r>
            <w:proofErr w:type="spellEnd"/>
            <w:r>
              <w:t>" филиала "Восточно-Сибирский" ООО "Локо-Тех-Сервис",</w:t>
            </w:r>
          </w:p>
          <w:p w:rsidR="00E92A7F" w:rsidRDefault="00E92A7F">
            <w:pPr>
              <w:pStyle w:val="ConsPlusNormal"/>
            </w:pPr>
            <w:r>
              <w:t>Эксплуатационное локомотивное депо Зима филиала ОАО "РЖД"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 xml:space="preserve">Государственное бюджетное профессиональное образовательное учреждение Иркутской области "Киренский </w:t>
            </w:r>
            <w:r>
              <w:lastRenderedPageBreak/>
              <w:t>профессионально-педагогический колледж"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lastRenderedPageBreak/>
              <w:t>Публичное акционерное общество "Ленское объединенное речное пароходство",</w:t>
            </w:r>
          </w:p>
          <w:p w:rsidR="00E92A7F" w:rsidRDefault="00E92A7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"Алексеевская ремонтно-эксплуатационная база флота"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lastRenderedPageBreak/>
              <w:t>Государственное бюджетное профессиональное образовательное учреждение Иркутской области "Братский политехнический колледж"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Акционерное общество "Группа "Илим"</w:t>
            </w:r>
          </w:p>
          <w:p w:rsidR="00E92A7F" w:rsidRDefault="00E92A7F">
            <w:pPr>
              <w:pStyle w:val="ConsPlusNormal"/>
            </w:pPr>
            <w:r>
              <w:t xml:space="preserve">Общество с ограниченной ответственностью "Братское монтажное управление </w:t>
            </w:r>
            <w:proofErr w:type="spellStart"/>
            <w:r>
              <w:t>Гидроэлектромонтаж</w:t>
            </w:r>
            <w:proofErr w:type="spellEnd"/>
            <w:r>
              <w:t>",</w:t>
            </w:r>
          </w:p>
          <w:p w:rsidR="00E92A7F" w:rsidRDefault="00E92A7F">
            <w:pPr>
              <w:pStyle w:val="ConsPlusNormal"/>
            </w:pPr>
            <w:r>
              <w:t>Общество с ограниченной ответственностью "Братский ремонтный механический завод"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"Иркутский аграрный техникум"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Иркутская городская общественная организация Независимая ассоциация ветеринарных врачей,</w:t>
            </w:r>
          </w:p>
          <w:p w:rsidR="00E92A7F" w:rsidRDefault="00E92A7F">
            <w:pPr>
              <w:pStyle w:val="ConsPlusNormal"/>
            </w:pPr>
            <w:r>
              <w:t>ООО "Молочная река",</w:t>
            </w:r>
          </w:p>
          <w:p w:rsidR="00E92A7F" w:rsidRDefault="00E92A7F">
            <w:pPr>
              <w:pStyle w:val="ConsPlusNormal"/>
            </w:pPr>
            <w:r>
              <w:t>Филиал ФГБУ "</w:t>
            </w:r>
            <w:proofErr w:type="spellStart"/>
            <w:r>
              <w:t>Россельхозцентр</w:t>
            </w:r>
            <w:proofErr w:type="spellEnd"/>
            <w:r>
              <w:t>" по Иркутской области</w:t>
            </w:r>
          </w:p>
        </w:tc>
      </w:tr>
      <w:tr w:rsidR="00E92A7F">
        <w:tc>
          <w:tcPr>
            <w:tcW w:w="4520" w:type="dxa"/>
            <w:vAlign w:val="center"/>
          </w:tcPr>
          <w:p w:rsidR="00E92A7F" w:rsidRDefault="00E92A7F">
            <w:pPr>
              <w:pStyle w:val="ConsPlusNormal"/>
            </w:pPr>
            <w:r>
              <w:t>Государственное бюджетное профессиональное образовательное учреждение Иркутской области "Черемховский педагогический колледж"</w:t>
            </w:r>
          </w:p>
        </w:tc>
        <w:tc>
          <w:tcPr>
            <w:tcW w:w="4521" w:type="dxa"/>
            <w:vAlign w:val="center"/>
          </w:tcPr>
          <w:p w:rsidR="00E92A7F" w:rsidRDefault="00E92A7F">
            <w:pPr>
              <w:pStyle w:val="ConsPlusNormal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В целях укрепления </w:t>
      </w:r>
      <w:proofErr w:type="spellStart"/>
      <w:r>
        <w:t>частно</w:t>
      </w:r>
      <w:proofErr w:type="spellEnd"/>
      <w:r>
        <w:t>-государственного партнерства образовательных организаций с компаниями-работодателями, соответствия требованиям, предъявляемым к уровню освоения современных технологий выпускниками, Концепцией предусмотрено создание 12 мастерских по следующим компетенциям: "Токарные работы на станках с ЧПУ", "Сварочные технологии" (3 мастерских), "Неразрушающий контроль", "Добыча нефти и газа", "Переработка нефти и газа", "Обработка листового материала", "Метрология и КИП", "Электромонтаж", "Промышленная механика и монтаж", "Промышленная автоматика".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6. Сельское хозяйство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 xml:space="preserve">Современная политика Иркутской области направлена на устойчивое развитие сельских территорий, обеспечение продовольственной безопасности региона на основе собственного сельскохозяйственного производства в соответствии с </w:t>
      </w:r>
      <w:hyperlink r:id="rId23" w:history="1">
        <w:r>
          <w:rPr>
            <w:color w:val="0000FF"/>
          </w:rPr>
          <w:t>доктриной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21 января 2020 г. N 20, а также государственной </w:t>
      </w:r>
      <w:hyperlink r:id="rId24" w:history="1">
        <w:r>
          <w:rPr>
            <w:color w:val="0000FF"/>
          </w:rPr>
          <w:t>программой</w:t>
        </w:r>
      </w:hyperlink>
      <w:r>
        <w:t xml:space="preserve"> Иркутской области "Развитие сельского хозяйства и регулирование рынков сельскохозяйственной продукции, сырья и продовольствия" на 2019 - 2024 годы (утверждена постановлением Правительства Иркутской области от 26 октября 2018 г. N 772-пп).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Важность подготовки кадров для сельского хозяйства региона отражена в </w:t>
      </w:r>
      <w:hyperlink r:id="rId25" w:history="1">
        <w:r>
          <w:rPr>
            <w:color w:val="0000FF"/>
          </w:rPr>
          <w:t>Концепции</w:t>
        </w:r>
      </w:hyperlink>
      <w:r>
        <w:t xml:space="preserve"> развития непрерывного агробизнес-образования (приказ министерства образования Иркутской области N 29-мпр, министерства сельского хозяйства Иркутской области N 10-мпр от 01 апреля 2021 г.) (приложение 12).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Согласно данным прогноза баланса трудовых ресурсов Иркутской области именно в отрасли сельское хозяйство, охота и лесное хозяйство в ближайшие годы будет наблюдаться значительный рост численности занятых (планируется увеличение занятых на 13,7 тыс. человек, или на 13,5%).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отчете о кадровой потребности агропромышленного комплекса Иркутской области (по перечню вакансий на предприятиях АПК Иркутской области по состоянию на 1 января 2021 года), подготовленном министерством сельского хозяйства Иркутской области, к наиболее </w:t>
      </w:r>
      <w:r>
        <w:lastRenderedPageBreak/>
        <w:t>востребованным относятся специальности среднего профессионального образования: зоотехник, ветеринарный врач, агроном; профессии среднего профессионального образования: тракторист-машинист, мастер растениеводства (овощевод). По количеству вакансий в разрезе профессионального образования лидируют вакансии, требующие наличия среднего профессионального образования по специальности, - 36,5%; вакансии, требующие наличия среднего профессионального образования по профессии, - 23,3% и трудовой квалификации по результатам профессионального обучения - 22,5%.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целях реализации отраслевой концепции кадровой политики в сфере сельского хозяйства министерством сельского хозяйства Иркутской области утвержден </w:t>
      </w:r>
      <w:hyperlink r:id="rId26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реализации концепции "Кадровая политика" на период 2019 - 2023 годов (приказ от 31 июля 2019 г. N 63-мпр), https://irkobl.ru/sites/agroline/legal_base/norma%20exp/Pr-MCXIO-63-2019.pdf.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Профессии и специальности, включенные в укрупненную группу профессий и специальностей 35.00.00 Сельское, лесное и рыбное хозяйство, 36.00.00 Ветеринария и зоотехния, включены в перечень наиболее востребованных и перспективных профессий и специальностей в Иркутской области.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рамках реализации Концепции развития непрерывного агробизнес-образования на сельских территориях Иркутской области на период до 2025 г. профессиональными образовательными организациями заключено 47 договоров о сотрудничестве с общеобразовательными организациями области по направлениям: разработка учебно-методической документации на основе учебного пособия по агробизнес-образованию; оказание помощи учителям в разработке практической части курса по агробизнес-образованию; проведение преподавателями техникума мастер-классов для школьников в целях профессиональной ориентации, курирование преподавателями техникума проектов агробизнес-образования, реализуемых на базе школ.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Стратегическими социальными партнерами профессиональных образовательных организаций сельскохозяйственного профиля являются: некоммерческое партнерство "Союз предприятий пищевой и перерабатывающей промышленности", некоммерческое объединение работодателей "Агропромышленный союз Иркутской области", Служба ветеринарии Иркутской области, НИИ сельского хозяйства Иркутской области, ООО "</w:t>
      </w:r>
      <w:proofErr w:type="spellStart"/>
      <w:r>
        <w:t>АгроБайкал</w:t>
      </w:r>
      <w:proofErr w:type="spellEnd"/>
      <w:r>
        <w:t>", ФГУ "</w:t>
      </w:r>
      <w:proofErr w:type="spellStart"/>
      <w:r>
        <w:t>Россельхозцентр</w:t>
      </w:r>
      <w:proofErr w:type="spellEnd"/>
      <w:r>
        <w:t>", ЗАО "</w:t>
      </w:r>
      <w:proofErr w:type="spellStart"/>
      <w:r>
        <w:t>Облагроснаб</w:t>
      </w:r>
      <w:proofErr w:type="spellEnd"/>
      <w:r>
        <w:t>", АО "Железнодорожник", СХАО "</w:t>
      </w:r>
      <w:proofErr w:type="spellStart"/>
      <w:r>
        <w:t>Белореченское</w:t>
      </w:r>
      <w:proofErr w:type="spellEnd"/>
      <w:r>
        <w:t>", ООО "Саянский тепличный комбинат" и другие.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Подготовка кадров по профессиям/специальностям сельскохозяйственной направленности:</w:t>
      </w:r>
    </w:p>
    <w:p w:rsidR="00E92A7F" w:rsidRDefault="00E92A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1"/>
      </w:tblGrid>
      <w:tr w:rsidR="00E92A7F">
        <w:tc>
          <w:tcPr>
            <w:tcW w:w="2970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СПО</w:t>
            </w:r>
          </w:p>
        </w:tc>
        <w:tc>
          <w:tcPr>
            <w:tcW w:w="2970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профессионального обучения</w:t>
            </w:r>
          </w:p>
        </w:tc>
        <w:tc>
          <w:tcPr>
            <w:tcW w:w="2971" w:type="dxa"/>
          </w:tcPr>
          <w:p w:rsidR="00E92A7F" w:rsidRDefault="00E92A7F">
            <w:pPr>
              <w:pStyle w:val="ConsPlusNormal"/>
              <w:jc w:val="center"/>
            </w:pPr>
            <w:r>
              <w:t>Количество организаций, ведущих подготовку кадров по программам ДПО и ПО</w:t>
            </w:r>
          </w:p>
        </w:tc>
      </w:tr>
      <w:tr w:rsidR="00E92A7F">
        <w:tc>
          <w:tcPr>
            <w:tcW w:w="2970" w:type="dxa"/>
          </w:tcPr>
          <w:p w:rsidR="00E92A7F" w:rsidRDefault="00E92A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E92A7F" w:rsidRDefault="00E92A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1" w:type="dxa"/>
          </w:tcPr>
          <w:p w:rsidR="00E92A7F" w:rsidRDefault="00E92A7F">
            <w:pPr>
              <w:pStyle w:val="ConsPlusNormal"/>
              <w:jc w:val="center"/>
            </w:pPr>
            <w:r>
              <w:t>11</w:t>
            </w:r>
          </w:p>
        </w:tc>
      </w:tr>
    </w:tbl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В 2012 году созданы 2 ресурсных центра и 1 многофункциональный центр прикладных квалификаций.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течение последних лет профессиональные образовательные организации констатируют постоянный интерес абитуриентов к профессиям и специальностям сельскохозяйственной сферы, что подтверждается наличием конкурса при поступлении в профессиональную образовательную организацию (от 1,2 до 2,7 чел. на место), средний балл аттестата поступающих на профессии и специальности, относящиеся к сфере сельского хозяйства, составляет в 2020 году 3,87 балла.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lastRenderedPageBreak/>
        <w:t>Процент трудоустроившихся по полученной профессии (специальности) составляет в среднем 65%.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Для обеспечения задачи подготовки кадров для агропромышленного сектора планируется создание 11 мастерских по компетенциям "Агрономия" (3 мастерские), "Ветеринария", "Эксплуатация сельскохозяйственных машин" (5 мастерских), "Промышленное садоводство" (2 мастерские).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Title"/>
        <w:jc w:val="center"/>
        <w:outlineLvl w:val="1"/>
      </w:pPr>
      <w:r>
        <w:t>Направление создания мастерских 7. Социальная сфера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ind w:firstLine="540"/>
        <w:jc w:val="both"/>
      </w:pPr>
      <w:r>
        <w:t>Общемировые и общероссийские тенденции диктуют необходимость построения в регионе образовательной экосистемы, основным предназначением которой является выстраивание тесной взаимосвязи между процессом развития способностей личности (сфера образования) и оптимальным использованием человеческих ресурсов (сфера экономики). Согласно проекту Стратегии социально-экономического развития Иркутской области среди принципиальных задач развития региона - образование и выявление кадров с ориентацией на выявление талантов во всех сферах, создание дополнительных условий для развития талантливой молодежи и применение этих талантов в регионе для технологического прорыва. Наиболее востребованные специальности: учителя начальных классов, дополнительного образования, логопеды, учителя математики, русского языка и литературы, педагоги-психологи, мастера производственного обучения - 10,0 тыс. человек; воспитатели детского сада (яслей-сада) - 7,5 тыс. человек.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Концепции</w:t>
        </w:r>
      </w:hyperlink>
      <w:r>
        <w:t xml:space="preserve"> развития системы непрерывного педагогического образования Иркутской области на 2020 - 2025 годы (утверждена распоряжением заместителя Председателя Правительства Иркутской области от 16 ноября 2020 года N 97-рзп) (приложение 13) обозначена потребность в специалистах разного уровня профессионального образования, а также организации переподготовки имеющихся специалистов. Всего до 2023 года требуется 1256 специалистов со средним образованием, 2387 специалистам требуется переподготовка.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По статистике министерства труда и занятости Иркутской области, в сфере образования запланировано создание 2,4 тыс. новых рабочих мест, что связано с реализацией государственной политики, направленной на развитие образования, окончанием работ по строительству и реконструкции образовательных организаций (школ и детских садов).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Востребованность специалистов в сфере образования подтверждается включением программ подготовки в перечень наиболее востребованных и перспективных профессий и специальностей в Иркутской области.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региональной системе среднего профессионального образования инфраструктура подготовки кадров для сферы образования представлена шестью педагогическими колледжами.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2012 году созданы два ресурсных центра (созданы на базах Ангарского педагогического колледжа, Иркутского регионального колледжа педагогического образования). В настоящее время в регионе по направлению "Социальная сфера" созданы 9 мастерских (5 - в 2019 году в Иркутском региональном колледже педагогического образования, 4 - в процессе создания в 2021 году в </w:t>
      </w:r>
      <w:proofErr w:type="spellStart"/>
      <w:r>
        <w:t>Боханском</w:t>
      </w:r>
      <w:proofErr w:type="spellEnd"/>
      <w:r>
        <w:t xml:space="preserve"> педагогическом колледже им. </w:t>
      </w:r>
      <w:proofErr w:type="spellStart"/>
      <w:r>
        <w:t>Д.Банзарова</w:t>
      </w:r>
      <w:proofErr w:type="spellEnd"/>
      <w:r>
        <w:t>), аккредитовано 5 Центров проведения демонстрационного экзамена, планируется аккредитовать до конца года еще 3. В 2021 году 599 обучающихся профессиональных образовательных организаций пройдут процедуру промежуточной аттестации с использованием механизма демонстрационного экзамена по стандартам Ворлдскиллс.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 2016 года 35 педагогов профессиональных образовательных организаций прошли обучение в Академии Ворлдскиллс Россия.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В рамках Концепции планируется создание 5 мастерских по компетенциям "Дошкольное </w:t>
      </w:r>
      <w:r>
        <w:lastRenderedPageBreak/>
        <w:t>воспитание" (2 мастерские), "Преподавание в младших классах" (2 мастерские), "Физическая культура, спорт и фитнес".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Важнейшей целью государственной политики в области здравоохранения на современном этапе являются улучшение демографической ситуации, состояния здоровья населения, обеспечение доступности и качества медицинской помощи для граждан Российской Федерации.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соответствии с прогнозом кадровых потребностей экономики Иркутской области в целом потребность в медицинских работниках составляет 23, 4 тыс. чел. Наиболее востребованные специальности: медицинская сестра - 6,8 тыс. чел.; фельдшер - 3,1 тыс. чел. Более 90% всей потребности связана с заменой выбывающих кадров и с общим дефицитом в кадрах по отдельным профессиям, в том числе в сельской местности.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По данным, представленным в </w:t>
      </w:r>
      <w:hyperlink r:id="rId28" w:history="1">
        <w:r>
          <w:rPr>
            <w:color w:val="0000FF"/>
          </w:rPr>
          <w:t>подпрограмме</w:t>
        </w:r>
      </w:hyperlink>
      <w:r>
        <w:t xml:space="preserve"> "Кадровое обеспечение системы здравоохранения" государственной программы Иркутской области "Развитие здравоохранения" на 2019 - 2024 годы (утверждена постановлением Правительства Иркутской области от 15 февраля 2019 N 123-пп), показатель обеспеченности медицинскими работниками со средним профессиональным медицинским образованием на 10 000 населения составляет 92,07 (показатель по РФ - 94,1 на 10 000 населения, показатель по СФО - 95,7 на 10 000 населения).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Инфраструктура подготовки медицинских работников со средним профессиональным медицинским образованием представлена в регионе наличием 10 профессиональных образовательных организаций, которые расположены в </w:t>
      </w:r>
      <w:proofErr w:type="spellStart"/>
      <w:r>
        <w:t>Иркутско</w:t>
      </w:r>
      <w:proofErr w:type="spellEnd"/>
      <w:r>
        <w:t xml:space="preserve">-Байкальской, </w:t>
      </w:r>
      <w:proofErr w:type="spellStart"/>
      <w:r>
        <w:t>Ангарско</w:t>
      </w:r>
      <w:proofErr w:type="spellEnd"/>
      <w:r>
        <w:t>-Черемховской территории, Западной и Северной территориях региона.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В регионе аккредитован 1 Центр проведения демонстрационного экзамена. В 2021 году 10 обучающихся профессиональных образовательных организаций пройдут процедуру промежуточной аттестации с использованием механизма демонстрационного экзамена по стандартам Ворлдскиллс. С целью владения методикой и осуществления оценки выполнения заданий демонстрационного экзамена обучено 44 эксперта.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 2016 года 4 педагога медицинских колледжей прошли обучение в Академии Ворлдскиллс Россия.</w:t>
      </w:r>
    </w:p>
    <w:p w:rsidR="00E92A7F" w:rsidRDefault="00E92A7F">
      <w:pPr>
        <w:pStyle w:val="ConsPlusNormal"/>
        <w:spacing w:before="220"/>
        <w:ind w:firstLine="540"/>
        <w:jc w:val="both"/>
      </w:pPr>
      <w:r w:rsidRPr="00E92A7F">
        <w:rPr>
          <w:highlight w:val="yellow"/>
        </w:rPr>
        <w:t>Для снижения кадрового дефицита в специалистах среднего звена в сфере здравоохранения планируется создание 7 мастерских по компетенциям: "Фармацевтика", "Лечебная деятельность" (3 мастерские), "Медицинский и социальный уход" (3 мастерские).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Создание 77 мастерских в 29 профессиональных образовательных организациях Иркутской области, оснащенных современной материально-технической базой, позволит обеспечить в регионе: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реализацию образовательной деятельности по образовательным программам среднего профессионального образования, профессионального обучения и дополнительных профессиональных программ (программ повышения квалификации и программ профессиональной подготовки) на уровне, соответствующем мировым стандартам, в том числе стандартам Ворлдскиллс Россия, реализацию дополнительных общеобразовательных программ для детей и взрослых;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>- обеспечение условий для оценки компетенций и квалификаций обучающихся и слушателей;</w:t>
      </w:r>
    </w:p>
    <w:p w:rsidR="00E92A7F" w:rsidRDefault="00E92A7F">
      <w:pPr>
        <w:pStyle w:val="ConsPlusNormal"/>
        <w:spacing w:before="220"/>
        <w:ind w:firstLine="540"/>
        <w:jc w:val="both"/>
      </w:pPr>
      <w:r>
        <w:t xml:space="preserve">- сопровождение </w:t>
      </w:r>
      <w:proofErr w:type="spellStart"/>
      <w:r>
        <w:t>профориентационных</w:t>
      </w:r>
      <w:proofErr w:type="spellEnd"/>
      <w:r>
        <w:t xml:space="preserve"> мероприятий обучающихся образовательных организаций, в том числе первой профессии.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right"/>
      </w:pPr>
      <w:r>
        <w:t>Заместитель Председателя</w:t>
      </w:r>
    </w:p>
    <w:p w:rsidR="00E92A7F" w:rsidRDefault="00E92A7F">
      <w:pPr>
        <w:pStyle w:val="ConsPlusNormal"/>
        <w:jc w:val="right"/>
      </w:pPr>
      <w:r>
        <w:lastRenderedPageBreak/>
        <w:t>Правительства Иркутской области</w:t>
      </w:r>
    </w:p>
    <w:p w:rsidR="00E92A7F" w:rsidRDefault="00E92A7F">
      <w:pPr>
        <w:pStyle w:val="ConsPlusNormal"/>
        <w:jc w:val="right"/>
      </w:pPr>
      <w:r>
        <w:t>В.Ф.ВОБЛИКОВА</w:t>
      </w: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jc w:val="both"/>
      </w:pPr>
    </w:p>
    <w:p w:rsidR="00E92A7F" w:rsidRDefault="00E92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016" w:rsidRDefault="00C52016"/>
    <w:sectPr w:rsidR="00C52016" w:rsidSect="008768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F"/>
    <w:rsid w:val="001235D7"/>
    <w:rsid w:val="00C52016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C47DD8F82F49B3F37F247229715C0F1FD3AB6FC2B33EF3230B665C54FF52E065B9201410040D279AA6FB877D9F2A209F856633FBAF19099BBB1FC5y1E" TargetMode="External"/><Relationship Id="rId13" Type="http://schemas.openxmlformats.org/officeDocument/2006/relationships/hyperlink" Target="consultantplus://offline/ref=A6B8C47DD8F82F49B3F3612964452B500D128BA466C5B06FA8710D310304F907A025BF755754090C2E91F7ACC023C67B61D4896628E7AE1BC1y6E" TargetMode="External"/><Relationship Id="rId18" Type="http://schemas.openxmlformats.org/officeDocument/2006/relationships/hyperlink" Target="consultantplus://offline/ref=A6B8C47DD8F82F49B3F37F247229715C0F1FD3AB6FC7BF38F32D0B665C54FF52E065B9201410040D279AA3FC817D9F2A209F856633FBAF19099BBB1FC5y1E" TargetMode="External"/><Relationship Id="rId26" Type="http://schemas.openxmlformats.org/officeDocument/2006/relationships/hyperlink" Target="consultantplus://offline/ref=A6B8C47DD8F82F49B3F37F247229715C0F1FD3AB6FC3B930F5210B665C54FF52E065B9201410040D279AA3FD8D7D9F2A209F856633FBAF19099BBB1FC5y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8C47DD8F82F49B3F3612964452B500F1D89A367C7B06FA8710D310304F907A025BF755754090D2691F7ACC023C67B61D4896628E7AE1BC1y6E" TargetMode="External"/><Relationship Id="rId7" Type="http://schemas.openxmlformats.org/officeDocument/2006/relationships/hyperlink" Target="consultantplus://offline/ref=A6B8C47DD8F82F49B3F37F247229715C0F1FD3AB6FC2B33EF3230B665C54FF52E065B920141004082591F7ACC023C67B61D4896628E7AE1BC1y6E" TargetMode="External"/><Relationship Id="rId12" Type="http://schemas.openxmlformats.org/officeDocument/2006/relationships/hyperlink" Target="consultantplus://offline/ref=A6B8C47DD8F82F49B3F37F247229715C0F1FD3AB6FCDBF3CF52D0B665C54FF52E065B9201410040D279AA3FB867D9F2A209F856633FBAF19099BBB1FC5y1E" TargetMode="External"/><Relationship Id="rId17" Type="http://schemas.openxmlformats.org/officeDocument/2006/relationships/hyperlink" Target="consultantplus://offline/ref=A6B8C47DD8F82F49B3F37F247229715C0F1FD3AB6FC2B93BF4270B665C54FF52E065B9201410040D279AA3FF807D9F2A209F856633FBAF19099BBB1FC5y1E" TargetMode="External"/><Relationship Id="rId25" Type="http://schemas.openxmlformats.org/officeDocument/2006/relationships/hyperlink" Target="consultantplus://offline/ref=A6B8C47DD8F82F49B3F37F247229715C0F1FD3AB6FCDBB3DF02C0B665C54FF52E065B9201410040D279AA3FC867D9F2A209F856633FBAF19099BBB1FC5y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8C47DD8F82F49B3F37F247229715C0F1FD3AB6FC2B93BF4270B665C54FF52E065B9201410040D279AA3FC807D9F2A209F856633FBAF19099BBB1FC5y1E" TargetMode="External"/><Relationship Id="rId20" Type="http://schemas.openxmlformats.org/officeDocument/2006/relationships/hyperlink" Target="consultantplus://offline/ref=A6B8C47DD8F82F49B3F3612964452B5007168DA06ECEED65A0280133040BA610A76CB3745754080C2CCEF2B9D17BCB7E7ACB887834E5ACC1y8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8C47DD8F82F49B3F3612964452B500D1D8DA46AC1B06FA8710D310304F907A025BF755E5D08042CCEF2B9D17BCB7E7ACB887834E5ACC1y8E" TargetMode="External"/><Relationship Id="rId11" Type="http://schemas.openxmlformats.org/officeDocument/2006/relationships/hyperlink" Target="consultantplus://offline/ref=A6B8C47DD8F82F49B3F37F247229715C0F1FD3AB6FC0B83BF2260B665C54FF52E065B9201410040D279AA3F9837D9F2A209F856633FBAF19099BBB1FC5y1E" TargetMode="External"/><Relationship Id="rId24" Type="http://schemas.openxmlformats.org/officeDocument/2006/relationships/hyperlink" Target="consultantplus://offline/ref=A6B8C47DD8F82F49B3F37F247229715C0F1FD3AB6FCDBF3DFD200B665C54FF52E065B9201410040D279AA3F8857D9F2A209F856633FBAF19099BBB1FC5y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B8C47DD8F82F49B3F37F247229715C0F1FD3AB6FC2BE39F1220B665C54FF52E065B9201410040D279AA3FC847D9F2A209F856633FBAF19099BBB1FC5y1E" TargetMode="External"/><Relationship Id="rId23" Type="http://schemas.openxmlformats.org/officeDocument/2006/relationships/hyperlink" Target="consultantplus://offline/ref=A6B8C47DD8F82F49B3F3612964452B500D108EA566C3B06FA8710D310304F907A025BF755754090D2091F7ACC023C67B61D4896628E7AE1BC1y6E" TargetMode="External"/><Relationship Id="rId28" Type="http://schemas.openxmlformats.org/officeDocument/2006/relationships/hyperlink" Target="consultantplus://offline/ref=A6B8C47DD8F82F49B3F37F247229715C0F1FD3AB6FCDBF3CF32C0B665C54FF52E065B9201410040D279BA1F8807D9F2A209F856633FBAF19099BBB1FC5y1E" TargetMode="External"/><Relationship Id="rId10" Type="http://schemas.openxmlformats.org/officeDocument/2006/relationships/hyperlink" Target="consultantplus://offline/ref=A6B8C47DD8F82F49B3F3612964452B500D1185A66CC3B06FA8710D310304F907B225E7795751170D2784A1FD86C7y7E" TargetMode="External"/><Relationship Id="rId19" Type="http://schemas.openxmlformats.org/officeDocument/2006/relationships/hyperlink" Target="consultantplus://offline/ref=A6B8C47DD8F82F49B3F37F247229715C0F1FD3AB6FC6BB31F4200B665C54FF52E065B92006105C01279FBDFC8468C97B66CC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8C47DD8F82F49B3F37F247229715C0F1FD3AB6FC0B93EFD240B665C54FF52E065B9201410040D279AA3F9857D9F2A209F856633FBAF19099BBB1FC5y1E" TargetMode="External"/><Relationship Id="rId14" Type="http://schemas.openxmlformats.org/officeDocument/2006/relationships/hyperlink" Target="consultantplus://offline/ref=A6B8C47DD8F82F49B3F37F247229715C0F1FD3AB6FC2B33CF6200B665C54FF52E065B9201410040D279AA3FD8D7D9F2A209F856633FBAF19099BBB1FC5y1E" TargetMode="External"/><Relationship Id="rId22" Type="http://schemas.openxmlformats.org/officeDocument/2006/relationships/hyperlink" Target="consultantplus://offline/ref=A6B8C47DD8F82F49B3F37F247229715C0F1FD3AB6FCDB830F02D0B665C54FF52E065B9201410040D279AA3F9827D9F2A209F856633FBAF19099BBB1FC5y1E" TargetMode="External"/><Relationship Id="rId27" Type="http://schemas.openxmlformats.org/officeDocument/2006/relationships/hyperlink" Target="consultantplus://offline/ref=A6B8C47DD8F82F49B3F37F247229715C0F1FD3AB6FC2BD3CF7210B665C54FF52E065B9201410040D279AA3FC857D9F2A209F856633FBAF19099BBB1FC5y1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11404</Words>
  <Characters>65006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Гетманская А.А.</dc:creator>
  <cp:lastModifiedBy>Каштанова ЛВ</cp:lastModifiedBy>
  <cp:revision>2</cp:revision>
  <dcterms:created xsi:type="dcterms:W3CDTF">2022-05-26T03:45:00Z</dcterms:created>
  <dcterms:modified xsi:type="dcterms:W3CDTF">2022-05-26T03:45:00Z</dcterms:modified>
</cp:coreProperties>
</file>